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100" w:line="340" w:lineRule="exact"/>
        <w:jc w:val="center"/>
        <w:rPr>
          <w:rFonts w:ascii="方正粗黑宋简体" w:hAnsi="方正粗黑宋简体" w:eastAsia="方正粗黑宋简体" w:cs="方正粗黑宋简体"/>
          <w:b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</w:rPr>
        <w:t xml:space="preserve">2020年本科插班生考试大纲 </w:t>
      </w:r>
    </w:p>
    <w:p>
      <w:pPr>
        <w:adjustRightInd w:val="0"/>
        <w:snapToGrid w:val="0"/>
        <w:spacing w:afterLines="100" w:line="3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（校考专业课：</w:t>
      </w:r>
      <w:bookmarkStart w:id="0" w:name="_GoBack"/>
      <w:r>
        <w:rPr>
          <w:rFonts w:hint="eastAsia" w:ascii="仿宋_GB2312" w:hAnsi="仿宋_GB2312" w:eastAsia="仿宋_GB2312" w:cs="仿宋_GB2312"/>
          <w:b/>
          <w:sz w:val="28"/>
          <w:szCs w:val="28"/>
        </w:rPr>
        <w:t>食品生物化学</w:t>
      </w:r>
      <w:bookmarkEnd w:id="0"/>
      <w:r>
        <w:rPr>
          <w:rFonts w:hint="eastAsia" w:ascii="仿宋_GB2312" w:hAnsi="仿宋_GB2312" w:eastAsia="仿宋_GB2312" w:cs="仿宋_GB2312"/>
          <w:b/>
          <w:sz w:val="28"/>
          <w:szCs w:val="28"/>
        </w:rPr>
        <w:t>）</w:t>
      </w:r>
    </w:p>
    <w:p>
      <w:pPr>
        <w:adjustRightInd w:val="0"/>
        <w:snapToGrid w:val="0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Ⅰ考试性质</w:t>
      </w:r>
    </w:p>
    <w:p>
      <w:pPr>
        <w:adjustRightInd w:val="0"/>
        <w:snapToGrid w:val="0"/>
        <w:ind w:firstLine="48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普通高等学校本科插班生（又称专插本）招生考试是由专科毕业生参加的选拔性考试。高等学校根据考生的成绩，按照已确定的招生计划，德、智、体全面衡量，择优录取。因此，本科插班生考试应有较高信度、效度、必要的区分度和适当的难度。</w:t>
      </w:r>
    </w:p>
    <w:p>
      <w:pPr>
        <w:adjustRightInd w:val="0"/>
        <w:snapToGrid w:val="0"/>
        <w:ind w:firstLine="48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snapToGrid w:val="0"/>
        <w:ind w:left="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Ⅱ考试内容及要求</w:t>
      </w:r>
    </w:p>
    <w:p>
      <w:pPr>
        <w:numPr>
          <w:ilvl w:val="0"/>
          <w:numId w:val="1"/>
        </w:numPr>
        <w:adjustRightInd w:val="0"/>
        <w:snapToGrid w:val="0"/>
        <w:ind w:firstLine="482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糖类</w:t>
      </w:r>
    </w:p>
    <w:p>
      <w:pPr>
        <w:adjustRightInd w:val="0"/>
        <w:snapToGrid w:val="0"/>
        <w:ind w:firstLine="56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一、糖的分类（识记）</w:t>
      </w:r>
    </w:p>
    <w:p>
      <w:pPr>
        <w:adjustRightInd w:val="0"/>
        <w:snapToGrid w:val="0"/>
        <w:ind w:firstLine="56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二、单糖结构：链状结构和环状结构（理解）</w:t>
      </w:r>
    </w:p>
    <w:p>
      <w:pPr>
        <w:numPr>
          <w:ilvl w:val="0"/>
          <w:numId w:val="2"/>
        </w:numPr>
        <w:adjustRightInd w:val="0"/>
        <w:snapToGrid w:val="0"/>
        <w:ind w:firstLine="56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单糖的物理和化学性质：旋光性、还原性等（识记）</w:t>
      </w:r>
    </w:p>
    <w:p>
      <w:pPr>
        <w:numPr>
          <w:ilvl w:val="0"/>
          <w:numId w:val="2"/>
        </w:numPr>
        <w:adjustRightInd w:val="0"/>
        <w:snapToGrid w:val="0"/>
        <w:ind w:firstLine="56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寡糖：常见寡糖的结构和性质，如蔗糖、麦芽糖等（识记）</w:t>
      </w:r>
    </w:p>
    <w:p>
      <w:pPr>
        <w:numPr>
          <w:ilvl w:val="0"/>
          <w:numId w:val="2"/>
        </w:numPr>
        <w:adjustRightInd w:val="0"/>
        <w:snapToGrid w:val="0"/>
        <w:ind w:firstLine="56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多糖：淀粉、糖原、纤维素的结构特征（理解）</w:t>
      </w:r>
    </w:p>
    <w:p>
      <w:pPr>
        <w:adjustRightInd w:val="0"/>
        <w:snapToGrid w:val="0"/>
        <w:ind w:left="562"/>
        <w:rPr>
          <w:rFonts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ind w:firstLine="482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脂类物质</w:t>
      </w:r>
    </w:p>
    <w:p>
      <w:pPr>
        <w:numPr>
          <w:ilvl w:val="0"/>
          <w:numId w:val="3"/>
        </w:numPr>
        <w:adjustRightInd w:val="0"/>
        <w:snapToGrid w:val="0"/>
        <w:ind w:left="48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三酰甘油或甘油三酯结构（理解）</w:t>
      </w:r>
    </w:p>
    <w:p>
      <w:pPr>
        <w:numPr>
          <w:ilvl w:val="0"/>
          <w:numId w:val="3"/>
        </w:numPr>
        <w:adjustRightInd w:val="0"/>
        <w:snapToGrid w:val="0"/>
        <w:ind w:left="48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天然脂肪酸的特征（识记）</w:t>
      </w:r>
    </w:p>
    <w:p>
      <w:pPr>
        <w:numPr>
          <w:ilvl w:val="0"/>
          <w:numId w:val="3"/>
        </w:numPr>
        <w:adjustRightInd w:val="0"/>
        <w:snapToGrid w:val="0"/>
        <w:ind w:left="48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三酰甘油的化学性质：皂化值、碘值、酸值等（理解、应用）</w:t>
      </w:r>
    </w:p>
    <w:p>
      <w:pPr>
        <w:numPr>
          <w:ilvl w:val="0"/>
          <w:numId w:val="3"/>
        </w:numPr>
        <w:adjustRightInd w:val="0"/>
        <w:snapToGrid w:val="0"/>
        <w:ind w:left="48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磷脂结构通式、常见甘油磷脂（识记）</w:t>
      </w:r>
    </w:p>
    <w:p>
      <w:pPr>
        <w:numPr>
          <w:ilvl w:val="0"/>
          <w:numId w:val="3"/>
        </w:numPr>
        <w:adjustRightInd w:val="0"/>
        <w:snapToGrid w:val="0"/>
        <w:ind w:left="48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胆固醇结构特征与种类（识记）</w:t>
      </w:r>
    </w:p>
    <w:p>
      <w:pPr>
        <w:adjustRightInd w:val="0"/>
        <w:snapToGrid w:val="0"/>
        <w:ind w:left="482"/>
        <w:rPr>
          <w:rFonts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ind w:firstLine="482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蛋白质化学</w:t>
      </w:r>
    </w:p>
    <w:p>
      <w:pPr>
        <w:numPr>
          <w:ilvl w:val="0"/>
          <w:numId w:val="4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氨基酸分类、三字母缩写（识记）、氨基酸的理化性质、两性解离和等电点（理解）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  二、肽的结构及重要的多肽（理解）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三、蛋白质的结构：一级结构；二级和三级结构的概念、类型及特点；四级结构的概念（识记）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四、蛋白质结构与功能的关系（理解）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 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五、蛋白质的性质：沉淀作用、变性作用、主要颜色反应的原理与应用（应用）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六、蛋白质的分离纯化：常用分离纯化方法的类别与原理（理解、应用）</w:t>
      </w:r>
    </w:p>
    <w:p>
      <w:pPr>
        <w:adjustRightInd w:val="0"/>
        <w:snapToGrid w:val="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第四章  核酸化学</w:t>
      </w:r>
    </w:p>
    <w:p>
      <w:pPr>
        <w:numPr>
          <w:ilvl w:val="0"/>
          <w:numId w:val="5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核酸的组成与结构（识记）</w:t>
      </w:r>
    </w:p>
    <w:p>
      <w:pPr>
        <w:numPr>
          <w:ilvl w:val="0"/>
          <w:numId w:val="5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DNA一级结构的概念和二级结构要点（识记）</w:t>
      </w:r>
    </w:p>
    <w:p>
      <w:pPr>
        <w:numPr>
          <w:ilvl w:val="0"/>
          <w:numId w:val="5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RNA的类型、tRNA的结构特点（识记）</w:t>
      </w:r>
    </w:p>
    <w:p>
      <w:pPr>
        <w:numPr>
          <w:ilvl w:val="0"/>
          <w:numId w:val="5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核酸的性质：变性与复性、紫外吸收、两性解离等（理解、应用）</w:t>
      </w:r>
    </w:p>
    <w:p>
      <w:pPr>
        <w:adjustRightInd w:val="0"/>
        <w:snapToGrid w:val="0"/>
        <w:ind w:left="56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ind w:left="482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第五章  酶</w:t>
      </w:r>
    </w:p>
    <w:p>
      <w:pPr>
        <w:numPr>
          <w:ilvl w:val="0"/>
          <w:numId w:val="6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酶的催化特性，酶的组成与分类（识记）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 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二、酶的活性中心与必需基团（理解、应用）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 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三、酶的作用机制：加速反应机制、专一性作用机制等（理解）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 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四、酶促反应动力学：米氏方程的计算；Km的定义及意义（理解、应用）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五、影响酶作用因素，酶活力的测定；（理解、应用）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 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六、酶在食品中的应用：淀粉酶、蛋白酶等（理解）</w:t>
      </w:r>
    </w:p>
    <w:p>
      <w:pPr>
        <w:adjustRightInd w:val="0"/>
        <w:snapToGrid w:val="0"/>
        <w:ind w:left="56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  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第六章  维生素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一、维生素的分类（识记）</w:t>
      </w:r>
    </w:p>
    <w:p>
      <w:pPr>
        <w:numPr>
          <w:ilvl w:val="0"/>
          <w:numId w:val="6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B族维生素与辅酶（识记）</w:t>
      </w:r>
    </w:p>
    <w:p>
      <w:pPr>
        <w:adjustRightInd w:val="0"/>
        <w:snapToGrid w:val="0"/>
        <w:ind w:left="560"/>
        <w:rPr>
          <w:rFonts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7"/>
        </w:numPr>
        <w:adjustRightInd w:val="0"/>
        <w:snapToGrid w:val="0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生物氧化</w:t>
      </w:r>
    </w:p>
    <w:p>
      <w:pPr>
        <w:numPr>
          <w:ilvl w:val="0"/>
          <w:numId w:val="8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生物氧化的方式、特点及涉及酶类（识记）</w:t>
      </w:r>
    </w:p>
    <w:p>
      <w:pPr>
        <w:numPr>
          <w:ilvl w:val="0"/>
          <w:numId w:val="8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呼吸链的概念、两条呼吸链的主要组成成分及排列顺序（理解）</w:t>
      </w:r>
    </w:p>
    <w:p>
      <w:pPr>
        <w:numPr>
          <w:ilvl w:val="0"/>
          <w:numId w:val="8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氧化磷酸化作用机制：化学渗透学说的基本要点及ATP合成酶（识记、应用）</w:t>
      </w:r>
    </w:p>
    <w:p>
      <w:pPr>
        <w:numPr>
          <w:ilvl w:val="0"/>
          <w:numId w:val="8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氧化磷酸化及底物水平磷酸化的概念、氧化磷酸化的偶联部位（理解、应用）</w:t>
      </w:r>
    </w:p>
    <w:p>
      <w:pPr>
        <w:adjustRightInd w:val="0"/>
        <w:snapToGrid w:val="0"/>
        <w:ind w:lef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第八章 糖类代谢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一、糖类的消化吸收（理解）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二、糖酵解途径：部位、过程、限速酶、ATP生成；（理解、应用）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三、丙酮酸的去路（理解）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四、糖的有氧氧化：丙酮酸氧化脱羧和三羧酸循环的反应过程及催化反应的关键酶（理解、应用）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五、糖酵解、TCA循环的意义（理解、应用）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六、糖异生作用：反应过程、场所及原料（识记）</w:t>
      </w:r>
    </w:p>
    <w:p>
      <w:pPr>
        <w:adjustRightInd w:val="0"/>
        <w:snapToGrid w:val="0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第九章 脂类代谢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 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一、脂蛋白的种类与功能（理解）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二、脂肪的分解代谢：甘油的氧化；脂肪酸β-氧化概念及反应过程；不饱和脂肪酸和奇数碳链脂肪酸氧化的特点。（理解、应用）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 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三、酮体的概念、合成原料、酮体生成和利用的部位、生理意义（识记）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四、脂肪酸合成：饱和脂肪酸的从头合成（理解）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  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第十章 氨基酸代谢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 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一、蛋白质的酶促降解、必需氨基酸的概念与种类（识记）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 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二、联合脱氨基作用过程（理解）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三、氨的来源与去路（理解、应用）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四、尿素合成的部位、鸟氨酸循环的基本步骤、尿素分子中2个氮原子的来源及鸟氨酸循环的意义（理解、应用）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第十一章 核酸及蛋白质的生物合成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一、DNA的复制：复制有关的酶和过程（原核生物）、复制方式（识记、应用）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二、转录：概念、与复制的区别（识记）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三、蛋白质生物合成：遗传密码概念与特点（识记）、氨基酸的活化、原核生物多肽链的合成过程（理解、应用）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第十二章  物质代谢途径的相互联系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糖类代谢与脂类代谢、蛋白质代谢的联系（理解）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3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Ⅲ.考试形式及试卷结构</w:t>
      </w:r>
    </w:p>
    <w:p>
      <w:pPr>
        <w:numPr>
          <w:ilvl w:val="0"/>
          <w:numId w:val="9"/>
        </w:num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考试形式：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闭卷、笔试。考试时间120分钟，满分100分。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二、知识内容比例：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 物质组成与结构……………………约占25%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2．物质性质与应用……………………约占30%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3．物质代谢与能量代谢………………约占30%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4．核酸结构及蛋白质生物合成………约占15%</w:t>
      </w:r>
    </w:p>
    <w:p>
      <w:pPr>
        <w:adjustRightInd w:val="0"/>
        <w:snapToGrid w:val="0"/>
        <w:spacing w:line="330" w:lineRule="exact"/>
        <w:ind w:firstLine="42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其中识记部分约占25%，理解部分约占40%，应用部分约占35%。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三、试题难易比例：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容易题………………………约占25%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中等难度题…………………约占45%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难题…………………………约占30%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四、试题题型及赋分：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1．名词解释题………………约占10%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2．填空题……………………约占20%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 单项选择题………………约占30%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 判断题……………………约占10%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5．计算题……………………约占10%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6．问答题……………………约占20%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Ⅳ. 题型示例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名词解释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（每小题2分，共10分）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1、酶活性中心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二、填空题（每空1分，共20分）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1、酶促动力学的双倒数作图（Lineweaver-Burk作图法），得到的直线在横轴的截距为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，纵轴上的截距为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三、单项选择题（每小题2分，共30分）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1、维持蛋白质三级结构稳定的主要作用力是：  （      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A．疏水键       B．氢键     C．二硫键        D．离子键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四、判断题（每小题1分，共10分；判断正确的打“√”；错误的打“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╳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”）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    ）1、目前公认的诱导契合学说可以较好地解释酶作用专一性的机制。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五、计算题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（每小题5分，共10分）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1、试计算三硬脂酸甘油酯的皂化值。（5分）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六、问答题（每小题5-8分，共20分）</w:t>
      </w:r>
    </w:p>
    <w:p>
      <w:pPr>
        <w:adjustRightInd w:val="0"/>
        <w:snapToGrid w:val="0"/>
        <w:spacing w:line="3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1、比较DNA聚合酶I、DNA聚合酶Ⅱ和DNA聚合酶Ⅲ性质的异同。（6分）</w:t>
      </w: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Ⅴ. 参考书目</w:t>
      </w:r>
    </w:p>
    <w:p>
      <w:pPr>
        <w:autoSpaceDE w:val="0"/>
        <w:autoSpaceDN w:val="0"/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1.《生物化学》（第三版）. 张洪渊，万海清主编.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北京，化学工业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出版社，20</w:t>
      </w:r>
      <w:r>
        <w:rPr>
          <w:rFonts w:hint="eastAsia"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年</w:t>
      </w:r>
    </w:p>
    <w:p>
      <w:pPr>
        <w:autoSpaceDE w:val="0"/>
        <w:autoSpaceDN w:val="0"/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2.《生物化学简明教程》（第五版）. 张丽萍，杨建雄主编</w:t>
      </w:r>
      <w:r>
        <w:rPr>
          <w:rFonts w:hint="eastAsia" w:ascii="仿宋_GB2312" w:hAnsi="仿宋_GB2312" w:eastAsia="仿宋_GB2312" w:cs="仿宋_GB2312"/>
          <w:sz w:val="28"/>
          <w:szCs w:val="28"/>
        </w:rPr>
        <w:t>. 北京，高等教育出版社，2015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年</w:t>
      </w:r>
    </w:p>
    <w:p>
      <w:pPr>
        <w:adjustRightInd w:val="0"/>
        <w:snapToGrid w:val="0"/>
        <w:spacing w:line="3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3.《食品生物化学》</w:t>
      </w:r>
      <w:r>
        <w:rPr>
          <w:rFonts w:hint="eastAsia" w:ascii="仿宋_GB2312" w:hAnsi="仿宋_GB2312" w:eastAsia="仿宋_GB2312" w:cs="仿宋_GB2312"/>
          <w:sz w:val="28"/>
          <w:szCs w:val="28"/>
        </w:rPr>
        <w:t>（第二版）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. 谢达平主编.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北京，中国农业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出版社，20</w:t>
      </w:r>
      <w:r>
        <w:rPr>
          <w:rFonts w:hint="eastAsia"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04C5F4"/>
    <w:multiLevelType w:val="singleLevel"/>
    <w:tmpl w:val="AE04C5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6ABB0B7"/>
    <w:multiLevelType w:val="singleLevel"/>
    <w:tmpl w:val="D6ABB0B7"/>
    <w:lvl w:ilvl="0" w:tentative="0">
      <w:start w:val="7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E30C7B7F"/>
    <w:multiLevelType w:val="singleLevel"/>
    <w:tmpl w:val="E30C7B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E31CEC6"/>
    <w:multiLevelType w:val="singleLevel"/>
    <w:tmpl w:val="EE31CEC6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4">
    <w:nsid w:val="FFAE3971"/>
    <w:multiLevelType w:val="singleLevel"/>
    <w:tmpl w:val="FFAE39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E32C3A7"/>
    <w:multiLevelType w:val="singleLevel"/>
    <w:tmpl w:val="3E32C3A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4D68120F"/>
    <w:multiLevelType w:val="singleLevel"/>
    <w:tmpl w:val="4D6812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5DAA2024"/>
    <w:multiLevelType w:val="singleLevel"/>
    <w:tmpl w:val="5DAA20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661D2208"/>
    <w:multiLevelType w:val="singleLevel"/>
    <w:tmpl w:val="661D22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D15FC"/>
    <w:rsid w:val="5A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7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2019-11-28T07:13:00Z</dcterms:created>
  <dc:creator> 景</dc:creator>
  <cp:lastModifiedBy> 景</cp:lastModifiedBy>
  <dcterms:modified xsi:type="dcterms:W3CDTF">2019-11-28T07:14:19Z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