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contextualSpacing/>
        <w:jc w:val="center"/>
        <w:rPr>
          <w:rFonts w:eastAsia="方正小标宋简体"/>
          <w:color w:val="auto"/>
          <w:sz w:val="44"/>
          <w:szCs w:val="44"/>
        </w:rPr>
      </w:pPr>
      <w:r>
        <w:rPr>
          <w:rFonts w:hint="eastAsia" w:eastAsia="方正小标宋简体"/>
          <w:color w:val="auto"/>
          <w:sz w:val="44"/>
          <w:szCs w:val="44"/>
        </w:rPr>
        <w:t>肇庆学院</w:t>
      </w:r>
      <w:r>
        <w:rPr>
          <w:rFonts w:eastAsia="方正小标宋简体"/>
          <w:color w:val="auto"/>
          <w:sz w:val="44"/>
          <w:szCs w:val="44"/>
        </w:rPr>
        <w:t>202</w:t>
      </w:r>
      <w:r>
        <w:rPr>
          <w:rFonts w:hint="eastAsia" w:eastAsia="方正小标宋简体"/>
          <w:color w:val="auto"/>
          <w:sz w:val="44"/>
          <w:szCs w:val="44"/>
          <w:lang w:eastAsia="zh-CN"/>
        </w:rPr>
        <w:t>4</w:t>
      </w:r>
      <w:r>
        <w:rPr>
          <w:rFonts w:hint="eastAsia" w:eastAsia="方正小标宋简体"/>
          <w:color w:val="auto"/>
          <w:sz w:val="44"/>
          <w:szCs w:val="44"/>
        </w:rPr>
        <w:t>年普通专升本招生简章</w:t>
      </w:r>
    </w:p>
    <w:p>
      <w:pPr>
        <w:spacing w:line="500" w:lineRule="exact"/>
        <w:ind w:firstLine="880" w:firstLineChars="200"/>
        <w:jc w:val="center"/>
        <w:rPr>
          <w:rStyle w:val="12"/>
          <w:rFonts w:ascii="方正小标宋简体" w:hAnsi="黑体" w:eastAsia="方正小标宋简体"/>
          <w:b w:val="0"/>
          <w:bCs w:val="0"/>
          <w:sz w:val="44"/>
          <w:szCs w:val="44"/>
        </w:rPr>
      </w:pP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为贯彻落实《关于做好2024年普通高等学校专升本考试招生工作的通知》（教学司〔2023〕15号）、《广东省202</w:t>
      </w:r>
      <w:r>
        <w:rPr>
          <w:rFonts w:hint="eastAsia" w:eastAsia="仿宋_GB2312"/>
          <w:color w:val="auto"/>
          <w:sz w:val="32"/>
          <w:szCs w:val="32"/>
          <w:lang w:eastAsia="zh-CN"/>
        </w:rPr>
        <w:t>4</w:t>
      </w:r>
      <w:r>
        <w:rPr>
          <w:rFonts w:eastAsia="仿宋_GB2312"/>
          <w:color w:val="auto"/>
          <w:sz w:val="32"/>
          <w:szCs w:val="32"/>
        </w:rPr>
        <w:t>年普通高等学校专升本招生工作规定》（粤招办普〔2023〕49号）等文件精神，特制定我校202</w:t>
      </w:r>
      <w:r>
        <w:rPr>
          <w:rFonts w:hint="eastAsia" w:eastAsia="仿宋_GB2312"/>
          <w:color w:val="auto"/>
          <w:sz w:val="32"/>
          <w:szCs w:val="32"/>
          <w:lang w:eastAsia="zh-CN"/>
        </w:rPr>
        <w:t>4</w:t>
      </w:r>
      <w:r>
        <w:rPr>
          <w:rFonts w:eastAsia="仿宋_GB2312"/>
          <w:color w:val="auto"/>
          <w:sz w:val="32"/>
          <w:szCs w:val="32"/>
        </w:rPr>
        <w:t>年普通专升本招生简章。</w:t>
      </w:r>
    </w:p>
    <w:p>
      <w:pPr>
        <w:pStyle w:val="4"/>
        <w:snapToGrid w:val="0"/>
        <w:spacing w:line="560" w:lineRule="exact"/>
        <w:ind w:firstLine="640"/>
        <w:rPr>
          <w:rFonts w:ascii="Times New Roman" w:hAnsi="Times New Roman" w:eastAsia="黑体"/>
          <w:color w:val="auto"/>
          <w:sz w:val="32"/>
          <w:szCs w:val="32"/>
        </w:rPr>
      </w:pPr>
      <w:r>
        <w:rPr>
          <w:rFonts w:hint="eastAsia" w:ascii="Times New Roman" w:hAnsi="Times New Roman" w:eastAsia="黑体"/>
          <w:color w:val="auto"/>
          <w:sz w:val="32"/>
          <w:szCs w:val="32"/>
        </w:rPr>
        <w:t>一、招生对象及报考条件</w:t>
      </w:r>
    </w:p>
    <w:p>
      <w:pPr>
        <w:snapToGrid w:val="0"/>
        <w:spacing w:line="560" w:lineRule="exact"/>
        <w:ind w:firstLine="640" w:firstLineChars="200"/>
        <w:rPr>
          <w:rFonts w:eastAsia="楷体_GB2312"/>
          <w:color w:val="auto"/>
          <w:sz w:val="32"/>
          <w:szCs w:val="32"/>
        </w:rPr>
      </w:pPr>
      <w:r>
        <w:rPr>
          <w:rFonts w:hint="eastAsia" w:eastAsia="楷体_GB2312"/>
          <w:color w:val="auto"/>
          <w:sz w:val="32"/>
          <w:szCs w:val="32"/>
        </w:rPr>
        <w:t>（一）招生对象</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遵守中华人民共和国宪法和法律，身体健康状况符合普通高校招生的体检要求，并符合下列条件之一的人员可以报考：</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具有广东省户籍的普通高校应届毕业生。</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hint="eastAsia" w:eastAsia="仿宋_GB2312"/>
          <w:color w:val="auto"/>
          <w:sz w:val="32"/>
          <w:szCs w:val="32"/>
        </w:rPr>
        <w:t>2.具有广东省户籍，且在报名时具有广东省户籍连续满3年（未满3年的，需在广东省参加普通高考且高考报名时为广东户籍）的普通高校往届专科毕业生。</w:t>
      </w:r>
    </w:p>
    <w:p>
      <w:pPr>
        <w:tabs>
          <w:tab w:val="left" w:pos="65"/>
          <w:tab w:val="left" w:pos="715"/>
          <w:tab w:val="left" w:pos="900"/>
        </w:tabs>
        <w:adjustRightInd w:val="0"/>
        <w:snapToGrid w:val="0"/>
        <w:spacing w:beforeLines="0" w:afterLines="0" w:line="560" w:lineRule="exact"/>
        <w:ind w:firstLine="640" w:firstLineChars="200"/>
        <w:rPr>
          <w:rFonts w:hint="eastAsia" w:eastAsia="仿宋_GB2312"/>
          <w:color w:val="auto"/>
          <w:sz w:val="32"/>
          <w:szCs w:val="32"/>
        </w:rPr>
      </w:pPr>
      <w:r>
        <w:rPr>
          <w:rFonts w:hint="eastAsia" w:eastAsia="仿宋_GB2312"/>
          <w:color w:val="auto"/>
          <w:sz w:val="32"/>
          <w:szCs w:val="32"/>
        </w:rPr>
        <w:t>3.具有广东省户籍，且在报名时具有广东省户籍连续满3年，同时在我省依法参加社会保险（仅限基本医疗保险、基本养老保险）缴费累计1年以上（含1年），在截止日期前取得国家承认学历的专科毕业生（含成人教育、自学考试、网络教育，毕业证书落款日期在2024年2月底前）。</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4.</w:t>
      </w:r>
      <w:r>
        <w:rPr>
          <w:rFonts w:hint="eastAsia" w:eastAsia="仿宋_GB2312"/>
          <w:color w:val="auto"/>
          <w:sz w:val="32"/>
          <w:szCs w:val="32"/>
        </w:rPr>
        <w:t>非广东省户籍，</w:t>
      </w:r>
      <w:r>
        <w:rPr>
          <w:rFonts w:eastAsia="仿宋_GB2312"/>
          <w:color w:val="auto"/>
          <w:sz w:val="32"/>
          <w:szCs w:val="32"/>
        </w:rPr>
        <w:t>就读广东省普通高校的应届专科毕业生。</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5.</w:t>
      </w:r>
      <w:r>
        <w:rPr>
          <w:rFonts w:hint="eastAsia" w:eastAsia="仿宋_GB2312"/>
          <w:color w:val="auto"/>
          <w:sz w:val="32"/>
          <w:szCs w:val="32"/>
        </w:rPr>
        <w:t>非广东省户籍，</w:t>
      </w:r>
      <w:r>
        <w:rPr>
          <w:rFonts w:eastAsia="仿宋_GB2312"/>
          <w:color w:val="auto"/>
          <w:sz w:val="32"/>
          <w:szCs w:val="32"/>
        </w:rPr>
        <w:t>在广东省参加普通高考被外省普通高校录取并就读的应届专科毕业生。</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hint="eastAsia" w:eastAsia="仿宋_GB2312"/>
          <w:color w:val="auto"/>
          <w:sz w:val="32"/>
          <w:szCs w:val="32"/>
          <w:lang w:val="en-US" w:eastAsia="zh-CN"/>
        </w:rPr>
        <w:t>6</w:t>
      </w:r>
      <w:r>
        <w:rPr>
          <w:rFonts w:eastAsia="仿宋_GB2312"/>
          <w:color w:val="auto"/>
          <w:sz w:val="32"/>
          <w:szCs w:val="32"/>
        </w:rPr>
        <w:t>.建档立卡考生，符合上述相应报考条件的，必须为原省级以上扶贫管理部门登记在册人员。广东省户籍的原建档立卡贫困家庭考生为广东省乡村振兴局登记在册，有建档立卡资料的考生（以广东省乡村振兴局提供的数据为准http://210.76.68.130:8080/fpy/a/index.do）；外省户籍原建档立卡的考生，原则上应为原国家层面建档立卡贫困家庭考生（需提供全国防返贫监测信息系统本人信息页截图并盖当地管理机构公章）。</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hint="eastAsia" w:eastAsia="仿宋_GB2312"/>
          <w:color w:val="auto"/>
          <w:sz w:val="32"/>
          <w:szCs w:val="32"/>
          <w:lang w:val="en-US" w:eastAsia="zh-CN"/>
        </w:rPr>
        <w:t>7</w:t>
      </w:r>
      <w:r>
        <w:rPr>
          <w:rFonts w:eastAsia="仿宋_GB2312"/>
          <w:color w:val="auto"/>
          <w:sz w:val="32"/>
          <w:szCs w:val="32"/>
        </w:rPr>
        <w:t>.退役大学生士兵可申请参加退役大学生士兵免试专升本招生，具体办法另文通知。</w:t>
      </w:r>
    </w:p>
    <w:p>
      <w:pPr>
        <w:snapToGrid w:val="0"/>
        <w:spacing w:line="560" w:lineRule="exact"/>
        <w:ind w:firstLine="640" w:firstLineChars="200"/>
        <w:rPr>
          <w:rFonts w:eastAsia="楷体_GB2312"/>
          <w:color w:val="auto"/>
          <w:sz w:val="32"/>
          <w:szCs w:val="32"/>
        </w:rPr>
      </w:pPr>
      <w:r>
        <w:rPr>
          <w:rFonts w:hint="eastAsia" w:eastAsia="楷体_GB2312"/>
          <w:color w:val="auto"/>
          <w:sz w:val="32"/>
          <w:szCs w:val="32"/>
        </w:rPr>
        <w:t>（二）下列人员不得报考：</w:t>
      </w:r>
    </w:p>
    <w:p>
      <w:pPr>
        <w:tabs>
          <w:tab w:val="left" w:pos="65"/>
          <w:tab w:val="left" w:pos="715"/>
          <w:tab w:val="left" w:pos="900"/>
        </w:tabs>
        <w:adjustRightInd w:val="0"/>
        <w:snapToGrid w:val="0"/>
        <w:spacing w:beforeLines="0" w:afterLines="0" w:line="560" w:lineRule="exact"/>
        <w:ind w:firstLine="640" w:firstLineChars="200"/>
        <w:rPr>
          <w:rFonts w:hint="eastAsia" w:eastAsia="仿宋_GB2312"/>
          <w:color w:val="auto"/>
          <w:sz w:val="32"/>
          <w:szCs w:val="32"/>
          <w:lang w:eastAsia="zh-CN"/>
        </w:rPr>
      </w:pPr>
      <w:r>
        <w:rPr>
          <w:rFonts w:eastAsia="仿宋_GB2312"/>
          <w:color w:val="auto"/>
          <w:sz w:val="32"/>
          <w:szCs w:val="32"/>
        </w:rPr>
        <w:t>1.普通高校应届毕业生之外的各类高等学历教育在校生</w:t>
      </w:r>
      <w:r>
        <w:rPr>
          <w:rFonts w:hint="eastAsia" w:eastAsia="仿宋_GB2312"/>
          <w:color w:val="auto"/>
          <w:sz w:val="32"/>
          <w:szCs w:val="32"/>
          <w:lang w:eastAsia="zh-CN"/>
        </w:rPr>
        <w:t>。</w:t>
      </w:r>
    </w:p>
    <w:p>
      <w:pPr>
        <w:tabs>
          <w:tab w:val="left" w:pos="65"/>
          <w:tab w:val="left" w:pos="715"/>
          <w:tab w:val="left" w:pos="900"/>
        </w:tabs>
        <w:adjustRightInd w:val="0"/>
        <w:snapToGrid w:val="0"/>
        <w:spacing w:beforeLines="0" w:afterLines="0" w:line="560" w:lineRule="exact"/>
        <w:ind w:firstLine="640" w:firstLineChars="200"/>
        <w:rPr>
          <w:rFonts w:hint="eastAsia" w:eastAsia="仿宋_GB2312"/>
          <w:color w:val="auto"/>
          <w:sz w:val="32"/>
          <w:szCs w:val="32"/>
          <w:lang w:eastAsia="zh-CN"/>
        </w:rPr>
      </w:pPr>
      <w:r>
        <w:rPr>
          <w:rFonts w:eastAsia="仿宋_GB2312"/>
          <w:color w:val="auto"/>
          <w:sz w:val="32"/>
          <w:szCs w:val="32"/>
        </w:rPr>
        <w:t>2.因违反国家教育考试规定,被给予暂停参加普通专升本招生考试处理且在停考期内的人员</w:t>
      </w:r>
      <w:r>
        <w:rPr>
          <w:rFonts w:hint="eastAsia" w:eastAsia="仿宋_GB2312"/>
          <w:color w:val="auto"/>
          <w:sz w:val="32"/>
          <w:szCs w:val="32"/>
          <w:lang w:eastAsia="zh-CN"/>
        </w:rPr>
        <w:t>。</w:t>
      </w:r>
    </w:p>
    <w:p>
      <w:pPr>
        <w:tabs>
          <w:tab w:val="left" w:pos="65"/>
          <w:tab w:val="left" w:pos="715"/>
          <w:tab w:val="left" w:pos="900"/>
        </w:tabs>
        <w:adjustRightInd w:val="0"/>
        <w:snapToGrid w:val="0"/>
        <w:spacing w:beforeLines="0" w:afterLines="0" w:line="560" w:lineRule="exact"/>
        <w:ind w:firstLine="640" w:firstLineChars="200"/>
        <w:rPr>
          <w:rFonts w:hint="eastAsia" w:eastAsia="仿宋_GB2312"/>
          <w:color w:val="auto"/>
          <w:sz w:val="32"/>
          <w:szCs w:val="32"/>
          <w:lang w:eastAsia="zh-CN"/>
        </w:rPr>
      </w:pPr>
      <w:r>
        <w:rPr>
          <w:rFonts w:eastAsia="仿宋_GB2312"/>
          <w:color w:val="auto"/>
          <w:sz w:val="32"/>
          <w:szCs w:val="32"/>
        </w:rPr>
        <w:t>3.因触犯刑律已被有关部门采取强制措施或正在服刑者</w:t>
      </w:r>
      <w:r>
        <w:rPr>
          <w:rFonts w:hint="eastAsia" w:eastAsia="仿宋_GB2312"/>
          <w:color w:val="auto"/>
          <w:sz w:val="32"/>
          <w:szCs w:val="32"/>
          <w:lang w:eastAsia="zh-CN"/>
        </w:rPr>
        <w:t>。</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4.不符合报考条件的其他人员。</w:t>
      </w:r>
    </w:p>
    <w:p>
      <w:pPr>
        <w:pStyle w:val="4"/>
        <w:spacing w:line="550" w:lineRule="exact"/>
        <w:ind w:firstLine="31680"/>
        <w:outlineLvl w:val="0"/>
        <w:rPr>
          <w:rFonts w:ascii="黑体" w:hAnsi="黑体" w:eastAsia="黑体"/>
          <w:sz w:val="32"/>
          <w:szCs w:val="32"/>
        </w:rPr>
      </w:pPr>
      <w:r>
        <w:rPr>
          <w:rFonts w:hint="eastAsia" w:ascii="黑体" w:hAnsi="黑体" w:eastAsia="黑体"/>
          <w:sz w:val="32"/>
          <w:szCs w:val="32"/>
        </w:rPr>
        <w:t>二、报名方式</w:t>
      </w:r>
    </w:p>
    <w:p>
      <w:pPr>
        <w:spacing w:line="560" w:lineRule="exact"/>
        <w:ind w:firstLine="640" w:firstLineChars="200"/>
        <w:rPr>
          <w:rFonts w:ascii="楷体_GB2312" w:hAnsi="华文中宋" w:eastAsia="楷体_GB2312"/>
          <w:sz w:val="32"/>
          <w:szCs w:val="32"/>
        </w:rPr>
      </w:pPr>
      <w:r>
        <w:rPr>
          <w:rFonts w:hint="eastAsia" w:ascii="楷体_GB2312" w:hAnsi="华文中宋" w:eastAsia="楷体_GB2312"/>
          <w:sz w:val="32"/>
          <w:szCs w:val="32"/>
        </w:rPr>
        <w:t>（一）预报名</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2024年1月12日09:00至19日18:00（共8天）为网上预报名时间，考生登录http://www.eeagd.edu.cn/ptzsbks，进入“广东省202</w:t>
      </w:r>
      <w:r>
        <w:rPr>
          <w:rFonts w:hint="eastAsia" w:eastAsia="仿宋_GB2312"/>
          <w:color w:val="auto"/>
          <w:sz w:val="32"/>
          <w:szCs w:val="32"/>
          <w:lang w:eastAsia="zh-CN"/>
        </w:rPr>
        <w:t>4</w:t>
      </w:r>
      <w:r>
        <w:rPr>
          <w:rFonts w:eastAsia="仿宋_GB2312"/>
          <w:color w:val="auto"/>
          <w:sz w:val="32"/>
          <w:szCs w:val="32"/>
        </w:rPr>
        <w:t>年普通高校专升本报名系统”进行预报名，阅读相关报考规定、要求，签订《诚信考试承诺书》，录入报名信息，</w:t>
      </w:r>
      <w:r>
        <w:rPr>
          <w:rFonts w:hint="eastAsia" w:eastAsia="仿宋_GB2312"/>
          <w:color w:val="auto"/>
          <w:sz w:val="32"/>
          <w:szCs w:val="32"/>
        </w:rPr>
        <w:t>选定考点所在地市，绑定手机号，按照系统指引采集相片，上传资料，</w:t>
      </w:r>
      <w:r>
        <w:rPr>
          <w:rFonts w:eastAsia="仿宋_GB2312"/>
          <w:color w:val="auto"/>
          <w:sz w:val="32"/>
          <w:szCs w:val="32"/>
        </w:rPr>
        <w:t>获取预报名号并设定密码。考生须认真查阅我校的招生简章和《广东省202</w:t>
      </w:r>
      <w:r>
        <w:rPr>
          <w:rFonts w:hint="eastAsia" w:eastAsia="仿宋_GB2312"/>
          <w:color w:val="auto"/>
          <w:sz w:val="32"/>
          <w:szCs w:val="32"/>
          <w:lang w:eastAsia="zh-CN"/>
        </w:rPr>
        <w:t>4</w:t>
      </w:r>
      <w:r>
        <w:rPr>
          <w:rFonts w:eastAsia="仿宋_GB2312"/>
          <w:color w:val="auto"/>
          <w:sz w:val="32"/>
          <w:szCs w:val="32"/>
        </w:rPr>
        <w:t>年普通高等学校专升本招生专业目录及考试要求》，详细了解招生专业的相关要求。按学科门类选择专业基础课科目；对于专业综合课，考生要结合自身拟报考院校及专业实际进行选择。</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1.考生须先下载</w:t>
      </w:r>
      <w:r>
        <w:rPr>
          <w:rFonts w:eastAsia="仿宋_GB2312"/>
          <w:b/>
          <w:bCs/>
          <w:color w:val="auto"/>
          <w:sz w:val="32"/>
          <w:szCs w:val="32"/>
        </w:rPr>
        <w:t>安装“学信网app”</w:t>
      </w:r>
      <w:r>
        <w:rPr>
          <w:rFonts w:eastAsia="仿宋_GB2312"/>
          <w:color w:val="auto"/>
          <w:sz w:val="32"/>
          <w:szCs w:val="32"/>
        </w:rPr>
        <w:t>并通过实名验证</w:t>
      </w:r>
      <w:r>
        <w:rPr>
          <w:rFonts w:hint="eastAsia" w:eastAsia="仿宋_GB2312"/>
          <w:color w:val="auto"/>
          <w:sz w:val="32"/>
          <w:szCs w:val="32"/>
          <w:lang w:eastAsia="zh-CN"/>
        </w:rPr>
        <w:t>，</w:t>
      </w:r>
      <w:r>
        <w:rPr>
          <w:rFonts w:eastAsia="仿宋_GB2312"/>
          <w:color w:val="auto"/>
          <w:sz w:val="32"/>
          <w:szCs w:val="32"/>
        </w:rPr>
        <w:t>自行进行在线专科</w:t>
      </w:r>
      <w:r>
        <w:rPr>
          <w:rFonts w:eastAsia="仿宋_GB2312"/>
          <w:b/>
          <w:bCs/>
          <w:color w:val="auto"/>
          <w:sz w:val="32"/>
          <w:szCs w:val="32"/>
        </w:rPr>
        <w:t>学历学籍验证</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（1）</w:t>
      </w:r>
      <w:r>
        <w:rPr>
          <w:rFonts w:eastAsia="仿宋_GB2312"/>
          <w:color w:val="auto"/>
          <w:sz w:val="32"/>
          <w:szCs w:val="32"/>
          <w:u w:val="single"/>
        </w:rPr>
        <w:t>尚未取得专科毕业证书的普通高校应届专科毕业生，</w:t>
      </w:r>
      <w:r>
        <w:rPr>
          <w:rFonts w:eastAsia="仿宋_GB2312"/>
          <w:color w:val="auto"/>
          <w:sz w:val="32"/>
          <w:szCs w:val="32"/>
        </w:rPr>
        <w:t>在网上报名时须在报名系统“学历学籍验证”模块输入本人身份证号码和姓名等信息，使用“学信网app”扫描学籍验证二维码并同意授权核验选择的专科学籍信息，由系统反馈验证结果。验证结果分“通过”和“不通过”两种。学籍查验“不通过”的考生，不予报考。</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（2）</w:t>
      </w:r>
      <w:r>
        <w:rPr>
          <w:rFonts w:eastAsia="仿宋_GB2312"/>
          <w:color w:val="auto"/>
          <w:sz w:val="32"/>
          <w:szCs w:val="32"/>
          <w:u w:val="single"/>
        </w:rPr>
        <w:t>在广东省参加普通高考，就读外省普通高校的非广东户籍应届专科毕业生</w:t>
      </w:r>
      <w:r>
        <w:rPr>
          <w:rFonts w:hint="eastAsia" w:eastAsia="仿宋_GB2312"/>
          <w:color w:val="auto"/>
          <w:sz w:val="32"/>
          <w:szCs w:val="32"/>
          <w:u w:val="single"/>
          <w:lang w:eastAsia="zh-CN"/>
        </w:rPr>
        <w:t>，</w:t>
      </w:r>
      <w:r>
        <w:rPr>
          <w:rFonts w:eastAsia="仿宋_GB2312"/>
          <w:color w:val="auto"/>
          <w:sz w:val="32"/>
          <w:szCs w:val="32"/>
        </w:rPr>
        <w:t>预报名时须自行进行在线专科学籍验证，在填报信息获取预报名号后，还需在专科学历学籍验证界面上点击“验证专科录取信息”按钮进行普通高校专科录取信息验证，由系统反馈验证结果。验证结果分“通过”和“不通过”两种，验证结果为“通过”的考生才能上传报名资料供审核；验证结果为“不通过”的考生（姓名、身份证号与专科录取时的不相符），可咨询广东省教育考试院，联系电话：020-62833628。</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（3）</w:t>
      </w:r>
      <w:r>
        <w:rPr>
          <w:rFonts w:eastAsia="仿宋_GB2312"/>
          <w:color w:val="auto"/>
          <w:sz w:val="32"/>
          <w:szCs w:val="32"/>
          <w:u w:val="single"/>
        </w:rPr>
        <w:t>已取得专科毕业证书的往届考生，</w:t>
      </w:r>
      <w:r>
        <w:rPr>
          <w:rFonts w:eastAsia="仿宋_GB2312"/>
          <w:color w:val="auto"/>
          <w:sz w:val="32"/>
          <w:szCs w:val="32"/>
        </w:rPr>
        <w:t>在网上报名时须在报名系统“学历学籍验证”模块输入相关专科毕业信息，使用“学信网app”扫描学历验证二维码并同意授权核验选择的学历信息，由系统反馈验证结果。验证结果分“通过”和“不通过”两种。学历验证结果为“不通过”的考生，须自行前往学信网（https://www.chsi.com.cn/xlrz/index.jsp）网上申请专科学历认证，在报名期间还未获得学历认证报告或电子注册备案表的考生，可选择“申请补学历认证报告或电子注册备案表”，阅读并签订“补报资料承诺书”后，考生须在202</w:t>
      </w:r>
      <w:r>
        <w:rPr>
          <w:rFonts w:hint="eastAsia" w:eastAsia="仿宋_GB2312"/>
          <w:color w:val="auto"/>
          <w:sz w:val="32"/>
          <w:szCs w:val="32"/>
          <w:lang w:val="en-US" w:eastAsia="zh-CN"/>
        </w:rPr>
        <w:t>4</w:t>
      </w:r>
      <w:r>
        <w:rPr>
          <w:rFonts w:hint="eastAsia" w:eastAsia="仿宋_GB2312"/>
          <w:color w:val="auto"/>
          <w:sz w:val="32"/>
          <w:szCs w:val="32"/>
        </w:rPr>
        <w:t>年</w:t>
      </w:r>
      <w:r>
        <w:rPr>
          <w:rFonts w:eastAsia="仿宋_GB2312"/>
          <w:color w:val="auto"/>
          <w:sz w:val="32"/>
          <w:szCs w:val="32"/>
        </w:rPr>
        <w:t>3</w:t>
      </w:r>
      <w:r>
        <w:rPr>
          <w:rFonts w:hint="eastAsia" w:eastAsia="仿宋_GB2312"/>
          <w:color w:val="auto"/>
          <w:sz w:val="32"/>
          <w:szCs w:val="32"/>
        </w:rPr>
        <w:t>月</w:t>
      </w:r>
      <w:r>
        <w:rPr>
          <w:rFonts w:eastAsia="仿宋_GB2312"/>
          <w:color w:val="auto"/>
          <w:sz w:val="32"/>
          <w:szCs w:val="32"/>
        </w:rPr>
        <w:t>10</w:t>
      </w:r>
      <w:r>
        <w:rPr>
          <w:rFonts w:hint="eastAsia" w:eastAsia="仿宋_GB2312"/>
          <w:color w:val="auto"/>
          <w:sz w:val="32"/>
          <w:szCs w:val="32"/>
        </w:rPr>
        <w:t>日</w:t>
      </w:r>
      <w:r>
        <w:rPr>
          <w:rFonts w:eastAsia="仿宋_GB2312"/>
          <w:color w:val="auto"/>
          <w:sz w:val="32"/>
          <w:szCs w:val="32"/>
        </w:rPr>
        <w:t>将学历认证报告或电子注册备案表上传至报名系统，由省招生办审核，逾期未提交学历认证报告或电子注册备案表的考生，将被取消报考资格,不予打印准考证,不安排考试。</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考生在报名前可以根据本人专科毕业的实际情况提前办理学历认证报告或电子注册备案表。</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（4）</w:t>
      </w:r>
      <w:r>
        <w:rPr>
          <w:rFonts w:eastAsia="仿宋_GB2312"/>
          <w:color w:val="auto"/>
          <w:sz w:val="32"/>
          <w:szCs w:val="32"/>
          <w:u w:val="single"/>
        </w:rPr>
        <w:t>参加自学考试</w:t>
      </w:r>
      <w:r>
        <w:rPr>
          <w:rFonts w:eastAsia="仿宋_GB2312"/>
          <w:color w:val="auto"/>
          <w:sz w:val="32"/>
          <w:szCs w:val="32"/>
        </w:rPr>
        <w:t>且已获得专业考试计划规定的全部课程合格成绩，符合毕业条件，已成功办理202</w:t>
      </w:r>
      <w:r>
        <w:rPr>
          <w:rFonts w:hint="eastAsia" w:eastAsia="仿宋_GB2312"/>
          <w:color w:val="auto"/>
          <w:sz w:val="32"/>
          <w:szCs w:val="32"/>
          <w:lang w:eastAsia="zh-CN"/>
        </w:rPr>
        <w:t>3</w:t>
      </w:r>
      <w:r>
        <w:rPr>
          <w:rFonts w:eastAsia="仿宋_GB2312"/>
          <w:color w:val="auto"/>
          <w:sz w:val="32"/>
          <w:szCs w:val="32"/>
        </w:rPr>
        <w:t>年12月毕业手续，但未领取毕业证书的自学考试毕业生可以报考，在预报名时填报信息获取预报名号后，点击“自考毕业情况验证”，由系统反馈验证结果。验证结果分“通过”和“不通过”两种，验证结果为“通过”的考生才能上传报名资料供审核，验证结果为“不通过”的考生，不予报考。</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2.</w:t>
      </w:r>
      <w:r>
        <w:rPr>
          <w:rFonts w:hint="eastAsia" w:eastAsia="仿宋_GB2312"/>
          <w:color w:val="auto"/>
          <w:sz w:val="32"/>
          <w:szCs w:val="32"/>
        </w:rPr>
        <w:t>资料上传</w:t>
      </w:r>
    </w:p>
    <w:p>
      <w:pPr>
        <w:tabs>
          <w:tab w:val="left" w:pos="65"/>
          <w:tab w:val="left" w:pos="715"/>
          <w:tab w:val="left" w:pos="900"/>
        </w:tabs>
        <w:adjustRightInd w:val="0"/>
        <w:snapToGrid w:val="0"/>
        <w:spacing w:beforeLines="0" w:afterLines="0" w:line="560" w:lineRule="exact"/>
        <w:ind w:firstLine="640" w:firstLineChars="200"/>
        <w:rPr>
          <w:rFonts w:eastAsia="仿宋_GB2312"/>
          <w:b/>
          <w:bCs/>
          <w:color w:val="auto"/>
          <w:sz w:val="32"/>
          <w:szCs w:val="32"/>
        </w:rPr>
      </w:pPr>
      <w:r>
        <w:rPr>
          <w:rFonts w:eastAsia="仿宋_GB2312"/>
          <w:color w:val="auto"/>
          <w:sz w:val="32"/>
          <w:szCs w:val="32"/>
        </w:rPr>
        <w:t>考生须将户口本（首页和本人姓名页）、体检表扫描或拍照（须确保资料真实、完整、清晰）上传至“报名系统”。</w:t>
      </w:r>
      <w:r>
        <w:rPr>
          <w:rFonts w:eastAsia="仿宋_GB2312"/>
          <w:b/>
          <w:bCs/>
          <w:color w:val="auto"/>
          <w:sz w:val="32"/>
          <w:szCs w:val="32"/>
        </w:rPr>
        <w:t>此外：</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（1）已取得专科毕业证但学历验证结果为“不通过”的考生还须上传专科毕业证书、学历认证报告（或电子注册备案表）。</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（2）在外省参加自学考试的考生还须上传由该省教育考试机构出具成绩单及“符合毕业证明”。</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（3）具有广东省户籍连续满3年的非全日制学历考生</w:t>
      </w:r>
      <w:r>
        <w:rPr>
          <w:rFonts w:hint="eastAsia" w:eastAsia="仿宋_GB2312"/>
          <w:color w:val="auto"/>
          <w:sz w:val="32"/>
          <w:szCs w:val="32"/>
        </w:rPr>
        <w:t>，须上传在我省参加社会保险（仅限基本医疗保险、基本养老保险）缴费累计</w:t>
      </w:r>
      <w:r>
        <w:rPr>
          <w:rFonts w:eastAsia="仿宋_GB2312"/>
          <w:color w:val="auto"/>
          <w:sz w:val="32"/>
          <w:szCs w:val="32"/>
        </w:rPr>
        <w:t>1</w:t>
      </w:r>
      <w:r>
        <w:rPr>
          <w:rFonts w:hint="eastAsia" w:eastAsia="仿宋_GB2312"/>
          <w:color w:val="auto"/>
          <w:sz w:val="32"/>
          <w:szCs w:val="32"/>
        </w:rPr>
        <w:t>年以上（含</w:t>
      </w:r>
      <w:r>
        <w:rPr>
          <w:rFonts w:eastAsia="仿宋_GB2312"/>
          <w:color w:val="auto"/>
          <w:sz w:val="32"/>
          <w:szCs w:val="32"/>
        </w:rPr>
        <w:t>1</w:t>
      </w:r>
      <w:r>
        <w:rPr>
          <w:rFonts w:hint="eastAsia" w:eastAsia="仿宋_GB2312"/>
          <w:color w:val="auto"/>
          <w:sz w:val="32"/>
          <w:szCs w:val="32"/>
        </w:rPr>
        <w:t>年）证明。</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（4）非广东户籍报考建档立卡类别的考生还须上传有关建档立卡的证明资料。（全国防返贫监测信息系统本人信息页截图并盖当地管理机构公章）。</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（5）符合广东省招生委员会有关规定加分照顾政策的考生还须上传相应的获奖证书等证明资料。</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3.考生可在广东省教育考试院下载《广东省202</w:t>
      </w:r>
      <w:r>
        <w:rPr>
          <w:rFonts w:hint="eastAsia" w:eastAsia="仿宋_GB2312"/>
          <w:color w:val="auto"/>
          <w:sz w:val="32"/>
          <w:szCs w:val="32"/>
          <w:lang w:val="en-US" w:eastAsia="zh-CN"/>
        </w:rPr>
        <w:t>4</w:t>
      </w:r>
      <w:r>
        <w:rPr>
          <w:rFonts w:eastAsia="仿宋_GB2312"/>
          <w:color w:val="auto"/>
          <w:sz w:val="32"/>
          <w:szCs w:val="32"/>
        </w:rPr>
        <w:t>年普通高校专升本招生体格检查表》（附件4），并在202</w:t>
      </w:r>
      <w:r>
        <w:rPr>
          <w:rFonts w:hint="eastAsia" w:eastAsia="仿宋_GB2312"/>
          <w:color w:val="auto"/>
          <w:sz w:val="32"/>
          <w:szCs w:val="32"/>
          <w:lang w:val="en-US" w:eastAsia="zh-CN"/>
        </w:rPr>
        <w:t>4</w:t>
      </w:r>
      <w:r>
        <w:rPr>
          <w:rFonts w:hint="eastAsia" w:eastAsia="仿宋_GB2312"/>
          <w:color w:val="auto"/>
          <w:sz w:val="32"/>
          <w:szCs w:val="32"/>
        </w:rPr>
        <w:t>年</w:t>
      </w:r>
      <w:r>
        <w:rPr>
          <w:rFonts w:eastAsia="仿宋_GB2312"/>
          <w:color w:val="auto"/>
          <w:sz w:val="32"/>
          <w:szCs w:val="32"/>
        </w:rPr>
        <w:t>1</w:t>
      </w:r>
      <w:r>
        <w:rPr>
          <w:rFonts w:hint="eastAsia" w:eastAsia="仿宋_GB2312"/>
          <w:color w:val="auto"/>
          <w:sz w:val="32"/>
          <w:szCs w:val="32"/>
        </w:rPr>
        <w:t>月</w:t>
      </w:r>
      <w:r>
        <w:rPr>
          <w:rFonts w:eastAsia="仿宋_GB2312"/>
          <w:color w:val="auto"/>
          <w:sz w:val="32"/>
          <w:szCs w:val="32"/>
        </w:rPr>
        <w:t>1</w:t>
      </w:r>
      <w:r>
        <w:rPr>
          <w:rFonts w:hint="eastAsia" w:eastAsia="仿宋_GB2312"/>
          <w:color w:val="auto"/>
          <w:sz w:val="32"/>
          <w:szCs w:val="32"/>
        </w:rPr>
        <w:t>日</w:t>
      </w:r>
      <w:r>
        <w:rPr>
          <w:rFonts w:eastAsia="仿宋_GB2312"/>
          <w:color w:val="auto"/>
          <w:sz w:val="32"/>
          <w:szCs w:val="32"/>
        </w:rPr>
        <w:t>至填报志愿第一天自行前往二级甲等（含）以上医院或相应的医疗单位进行体检。被录取的考生入学后，由学校进行身体复检，复检不合格者取消入学资格。考生应根据自己的身体状况慎重报考。</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根据国务院全面推动证明事项等告知承诺制度要求，考生须认真按要求填报相关信息及上传相关材料，并确保所提供的信息及材料的真实性。考生如凭无效证件或其他不符合报考条件的证件报名，一旦发现，取消考生报名资格，已录取考生取消其报名及录取资格。</w:t>
      </w:r>
    </w:p>
    <w:p>
      <w:pPr>
        <w:spacing w:line="560" w:lineRule="exact"/>
        <w:ind w:firstLine="640" w:firstLineChars="200"/>
        <w:rPr>
          <w:rFonts w:ascii="楷体_GB2312" w:hAnsi="华文中宋" w:eastAsia="楷体_GB2312"/>
          <w:sz w:val="32"/>
          <w:szCs w:val="32"/>
        </w:rPr>
      </w:pPr>
      <w:r>
        <w:rPr>
          <w:rFonts w:hint="eastAsia" w:ascii="楷体_GB2312" w:hAnsi="华文中宋" w:eastAsia="楷体_GB2312"/>
          <w:sz w:val="32"/>
          <w:szCs w:val="32"/>
        </w:rPr>
        <w:t>（二）确认报名与交费</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1.确认审核结果。考生提交预报名资料后，省招生办在1月</w:t>
      </w:r>
      <w:r>
        <w:rPr>
          <w:rFonts w:hint="eastAsia" w:eastAsia="仿宋_GB2312"/>
          <w:color w:val="auto"/>
          <w:sz w:val="32"/>
          <w:szCs w:val="32"/>
          <w:lang w:val="en-US" w:eastAsia="zh-CN"/>
        </w:rPr>
        <w:t>21</w:t>
      </w:r>
      <w:r>
        <w:rPr>
          <w:rFonts w:eastAsia="仿宋_GB2312"/>
          <w:color w:val="auto"/>
          <w:sz w:val="32"/>
          <w:szCs w:val="32"/>
        </w:rPr>
        <w:t>日18:00前完成所有预报名考生资料审核。考生可登录系统查看报名资格审核结果，审核结果为“通过”或“待验证”的考生可以交费，确认报名资格。审核结果为“不通过”的，考生根据不通过的原因，须在1月</w:t>
      </w:r>
      <w:r>
        <w:rPr>
          <w:rFonts w:hint="eastAsia" w:eastAsia="仿宋_GB2312"/>
          <w:color w:val="auto"/>
          <w:sz w:val="32"/>
          <w:szCs w:val="32"/>
          <w:lang w:val="en-US" w:eastAsia="zh-CN"/>
        </w:rPr>
        <w:t>22</w:t>
      </w:r>
      <w:r>
        <w:rPr>
          <w:rFonts w:eastAsia="仿宋_GB2312"/>
          <w:color w:val="auto"/>
          <w:sz w:val="32"/>
          <w:szCs w:val="32"/>
        </w:rPr>
        <w:t>日18：00前上传补充资料，逾期未补充资料的，视为放弃报名。</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2.交费。考生须在1月</w:t>
      </w:r>
      <w:r>
        <w:rPr>
          <w:rFonts w:hint="eastAsia" w:eastAsia="仿宋_GB2312"/>
          <w:color w:val="auto"/>
          <w:sz w:val="32"/>
          <w:szCs w:val="32"/>
          <w:lang w:val="en-US" w:eastAsia="zh-CN"/>
        </w:rPr>
        <w:t>23</w:t>
      </w:r>
      <w:r>
        <w:rPr>
          <w:rFonts w:eastAsia="仿宋_GB2312"/>
          <w:color w:val="auto"/>
          <w:sz w:val="32"/>
          <w:szCs w:val="32"/>
        </w:rPr>
        <w:t>日17:00前交报考费，40元/科。交费成功的考生才能参加编排考场座位、打印准考证；否则视为放弃报名资格。交费后自动放弃考试资格的，不予退回报考费。</w:t>
      </w:r>
    </w:p>
    <w:p>
      <w:pPr>
        <w:rPr>
          <w:rFonts w:ascii="??_GB2312" w:hAnsi="仿宋" w:eastAsia="Times New Roman"/>
          <w:sz w:val="32"/>
          <w:szCs w:val="32"/>
        </w:rPr>
      </w:pPr>
    </w:p>
    <w:p>
      <w:pPr>
        <w:pStyle w:val="2"/>
        <w:rPr>
          <w:rFonts w:ascii="??_GB2312" w:hAnsi="仿宋" w:eastAsia="Times New Roman"/>
          <w:sz w:val="32"/>
          <w:szCs w:val="32"/>
        </w:rPr>
      </w:pPr>
    </w:p>
    <w:p>
      <w:pPr>
        <w:rPr>
          <w:rFonts w:ascii="??_GB2312" w:hAnsi="仿宋" w:eastAsia="Times New Roman"/>
          <w:sz w:val="32"/>
          <w:szCs w:val="32"/>
        </w:rPr>
      </w:pPr>
    </w:p>
    <w:p>
      <w:pPr>
        <w:pStyle w:val="4"/>
        <w:snapToGrid w:val="0"/>
        <w:spacing w:line="560" w:lineRule="exact"/>
        <w:ind w:firstLine="640"/>
        <w:rPr>
          <w:rFonts w:ascii="Times New Roman" w:hAnsi="Times New Roman" w:eastAsia="黑体"/>
          <w:color w:val="auto"/>
          <w:sz w:val="32"/>
          <w:szCs w:val="32"/>
        </w:rPr>
      </w:pPr>
      <w:r>
        <w:rPr>
          <w:rFonts w:hint="eastAsia" w:ascii="Times New Roman" w:hAnsi="Times New Roman" w:eastAsia="黑体"/>
          <w:color w:val="auto"/>
          <w:sz w:val="32"/>
          <w:szCs w:val="32"/>
        </w:rPr>
        <w:t>三、肇庆学院</w:t>
      </w:r>
      <w:r>
        <w:rPr>
          <w:rFonts w:ascii="Times New Roman" w:hAnsi="Times New Roman" w:eastAsia="黑体"/>
          <w:color w:val="auto"/>
          <w:sz w:val="32"/>
          <w:szCs w:val="32"/>
        </w:rPr>
        <w:t>202</w:t>
      </w:r>
      <w:r>
        <w:rPr>
          <w:rFonts w:hint="eastAsia" w:ascii="Times New Roman" w:hAnsi="Times New Roman" w:eastAsia="黑体"/>
          <w:color w:val="auto"/>
          <w:sz w:val="32"/>
          <w:szCs w:val="32"/>
          <w:lang w:val="en-US" w:eastAsia="zh-CN"/>
        </w:rPr>
        <w:t>4</w:t>
      </w:r>
      <w:r>
        <w:rPr>
          <w:rFonts w:hint="eastAsia" w:ascii="Times New Roman" w:hAnsi="Times New Roman" w:eastAsia="黑体"/>
          <w:color w:val="auto"/>
          <w:sz w:val="32"/>
          <w:szCs w:val="32"/>
        </w:rPr>
        <w:t>年普通专升本</w:t>
      </w:r>
      <w:r>
        <w:rPr>
          <w:rFonts w:hint="eastAsia" w:eastAsia="黑体"/>
          <w:color w:val="auto"/>
          <w:sz w:val="32"/>
          <w:szCs w:val="32"/>
          <w:lang w:val="en-US" w:eastAsia="zh-CN"/>
        </w:rPr>
        <w:t>拟</w:t>
      </w:r>
      <w:r>
        <w:rPr>
          <w:rFonts w:hint="eastAsia" w:ascii="Times New Roman" w:hAnsi="Times New Roman" w:eastAsia="黑体"/>
          <w:color w:val="auto"/>
          <w:sz w:val="32"/>
          <w:szCs w:val="32"/>
        </w:rPr>
        <w:t>招生专业</w:t>
      </w:r>
    </w:p>
    <w:tbl>
      <w:tblPr>
        <w:tblStyle w:val="9"/>
        <w:tblW w:w="10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1987"/>
        <w:gridCol w:w="1338"/>
        <w:gridCol w:w="1526"/>
        <w:gridCol w:w="919"/>
        <w:gridCol w:w="922"/>
        <w:gridCol w:w="1607"/>
        <w:gridCol w:w="781"/>
      </w:tblGrid>
      <w:tr>
        <w:trPr>
          <w:trHeight w:val="569" w:hRule="atLeast"/>
          <w:jc w:val="center"/>
        </w:trPr>
        <w:tc>
          <w:tcPr>
            <w:tcW w:w="1037" w:type="dxa"/>
            <w:vMerge w:val="restart"/>
            <w:vAlign w:val="center"/>
          </w:tcPr>
          <w:p>
            <w:pPr>
              <w:adjustRightInd w:val="0"/>
              <w:snapToGrid w:val="0"/>
              <w:jc w:val="center"/>
              <w:rPr>
                <w:rFonts w:ascii="??_GB2312" w:hAnsi="仿宋" w:eastAsia="Times New Roman"/>
                <w:b/>
                <w:bCs/>
                <w:szCs w:val="21"/>
              </w:rPr>
            </w:pPr>
            <w:r>
              <w:rPr>
                <w:rFonts w:ascii="??_GB2312" w:hAnsi="仿宋" w:eastAsia="Times New Roman"/>
                <w:b/>
                <w:bCs/>
                <w:szCs w:val="21"/>
              </w:rPr>
              <w:t>学科</w:t>
            </w:r>
          </w:p>
          <w:p>
            <w:pPr>
              <w:adjustRightInd w:val="0"/>
              <w:snapToGrid w:val="0"/>
              <w:jc w:val="center"/>
              <w:rPr>
                <w:rFonts w:ascii="??_GB2312" w:hAnsi="仿宋" w:eastAsia="Times New Roman"/>
                <w:b/>
                <w:bCs/>
                <w:szCs w:val="21"/>
              </w:rPr>
            </w:pPr>
            <w:r>
              <w:rPr>
                <w:rFonts w:ascii="??_GB2312" w:hAnsi="仿宋" w:eastAsia="Times New Roman"/>
                <w:b/>
                <w:bCs/>
                <w:szCs w:val="21"/>
              </w:rPr>
              <w:t>门类</w:t>
            </w:r>
          </w:p>
        </w:tc>
        <w:tc>
          <w:tcPr>
            <w:tcW w:w="1987" w:type="dxa"/>
            <w:vMerge w:val="restart"/>
            <w:vAlign w:val="center"/>
          </w:tcPr>
          <w:p>
            <w:pPr>
              <w:adjustRightInd w:val="0"/>
              <w:snapToGrid w:val="0"/>
              <w:jc w:val="center"/>
              <w:rPr>
                <w:rFonts w:ascii="??_GB2312" w:hAnsi="仿宋" w:eastAsia="Times New Roman"/>
                <w:b/>
                <w:bCs/>
                <w:szCs w:val="21"/>
              </w:rPr>
            </w:pPr>
            <w:r>
              <w:rPr>
                <w:rFonts w:ascii="??_GB2312" w:hAnsi="仿宋" w:eastAsia="Times New Roman"/>
                <w:b/>
                <w:bCs/>
                <w:szCs w:val="21"/>
              </w:rPr>
              <w:t>招生专业</w:t>
            </w:r>
          </w:p>
        </w:tc>
        <w:tc>
          <w:tcPr>
            <w:tcW w:w="1338" w:type="dxa"/>
            <w:vMerge w:val="restart"/>
            <w:vAlign w:val="center"/>
          </w:tcPr>
          <w:p>
            <w:pPr>
              <w:adjustRightInd w:val="0"/>
              <w:snapToGrid w:val="0"/>
              <w:jc w:val="center"/>
              <w:rPr>
                <w:rFonts w:ascii="??_GB2312" w:hAnsi="仿宋" w:eastAsia="Times New Roman"/>
                <w:b/>
                <w:bCs/>
                <w:szCs w:val="21"/>
              </w:rPr>
            </w:pPr>
            <w:r>
              <w:rPr>
                <w:rFonts w:ascii="??_GB2312" w:hAnsi="仿宋" w:eastAsia="Times New Roman"/>
                <w:b/>
                <w:bCs/>
                <w:szCs w:val="21"/>
              </w:rPr>
              <w:t>计划数</w:t>
            </w:r>
          </w:p>
        </w:tc>
        <w:tc>
          <w:tcPr>
            <w:tcW w:w="1526" w:type="dxa"/>
            <w:vMerge w:val="restart"/>
            <w:vAlign w:val="center"/>
          </w:tcPr>
          <w:p>
            <w:pPr>
              <w:adjustRightInd w:val="0"/>
              <w:snapToGrid w:val="0"/>
              <w:jc w:val="center"/>
              <w:rPr>
                <w:rFonts w:ascii="??_GB2312" w:hAnsi="仿宋" w:eastAsia="Times New Roman"/>
                <w:b/>
                <w:bCs/>
                <w:szCs w:val="21"/>
              </w:rPr>
            </w:pPr>
            <w:r>
              <w:rPr>
                <w:rFonts w:ascii="??_GB2312" w:hAnsi="仿宋" w:eastAsia="Times New Roman"/>
                <w:b/>
                <w:bCs/>
                <w:szCs w:val="21"/>
              </w:rPr>
              <w:t>收费</w:t>
            </w:r>
          </w:p>
          <w:p>
            <w:pPr>
              <w:adjustRightInd w:val="0"/>
              <w:snapToGrid w:val="0"/>
              <w:jc w:val="center"/>
              <w:rPr>
                <w:rFonts w:ascii="??_GB2312" w:hAnsi="仿宋" w:eastAsia="Times New Roman"/>
                <w:b/>
                <w:bCs/>
                <w:szCs w:val="21"/>
              </w:rPr>
            </w:pPr>
            <w:r>
              <w:rPr>
                <w:rFonts w:ascii="??_GB2312" w:hAnsi="仿宋" w:eastAsia="Times New Roman"/>
                <w:b/>
                <w:bCs/>
                <w:szCs w:val="21"/>
              </w:rPr>
              <w:t>(元/学年)</w:t>
            </w:r>
          </w:p>
        </w:tc>
        <w:tc>
          <w:tcPr>
            <w:tcW w:w="4229" w:type="dxa"/>
            <w:gridSpan w:val="4"/>
            <w:vAlign w:val="center"/>
          </w:tcPr>
          <w:p>
            <w:pPr>
              <w:adjustRightInd w:val="0"/>
              <w:snapToGrid w:val="0"/>
              <w:jc w:val="center"/>
              <w:rPr>
                <w:rFonts w:ascii="??_GB2312" w:hAnsi="仿宋" w:eastAsia="Times New Roman"/>
                <w:b/>
                <w:bCs/>
                <w:color w:val="auto"/>
                <w:szCs w:val="21"/>
              </w:rPr>
            </w:pPr>
            <w:r>
              <w:rPr>
                <w:rFonts w:ascii="??_GB2312" w:hAnsi="仿宋" w:eastAsia="Times New Roman"/>
                <w:b/>
                <w:bCs/>
                <w:color w:val="auto"/>
                <w:szCs w:val="21"/>
              </w:rPr>
              <w:t>202</w:t>
            </w:r>
            <w:r>
              <w:rPr>
                <w:rFonts w:hint="eastAsia" w:ascii="??_GB2312" w:hAnsi="仿宋"/>
                <w:b/>
                <w:bCs/>
                <w:color w:val="auto"/>
                <w:szCs w:val="21"/>
                <w:lang w:val="en-US" w:eastAsia="zh-CN"/>
              </w:rPr>
              <w:t>3</w:t>
            </w:r>
            <w:r>
              <w:rPr>
                <w:rFonts w:ascii="??_GB2312" w:hAnsi="仿宋" w:eastAsia="Times New Roman"/>
                <w:b/>
                <w:bCs/>
                <w:color w:val="auto"/>
                <w:szCs w:val="21"/>
              </w:rPr>
              <w:t>年报考及录取情况</w:t>
            </w:r>
          </w:p>
        </w:tc>
      </w:tr>
      <w:tr>
        <w:trPr>
          <w:trHeight w:val="649" w:hRule="atLeast"/>
          <w:jc w:val="center"/>
        </w:trPr>
        <w:tc>
          <w:tcPr>
            <w:tcW w:w="1037" w:type="dxa"/>
            <w:vMerge w:val="continue"/>
            <w:vAlign w:val="center"/>
          </w:tcPr>
          <w:p>
            <w:pPr>
              <w:adjustRightInd w:val="0"/>
              <w:snapToGrid w:val="0"/>
              <w:jc w:val="center"/>
              <w:rPr>
                <w:rFonts w:ascii="??_GB2312" w:hAnsi="仿宋" w:eastAsia="Times New Roman"/>
                <w:b/>
                <w:bCs/>
                <w:szCs w:val="21"/>
              </w:rPr>
            </w:pPr>
          </w:p>
        </w:tc>
        <w:tc>
          <w:tcPr>
            <w:tcW w:w="1987" w:type="dxa"/>
            <w:vMerge w:val="continue"/>
            <w:vAlign w:val="center"/>
          </w:tcPr>
          <w:p>
            <w:pPr>
              <w:adjustRightInd w:val="0"/>
              <w:snapToGrid w:val="0"/>
              <w:jc w:val="center"/>
              <w:rPr>
                <w:rFonts w:ascii="??_GB2312" w:hAnsi="仿宋" w:eastAsia="Times New Roman"/>
                <w:b/>
                <w:bCs/>
                <w:szCs w:val="21"/>
              </w:rPr>
            </w:pPr>
          </w:p>
        </w:tc>
        <w:tc>
          <w:tcPr>
            <w:tcW w:w="1338" w:type="dxa"/>
            <w:vMerge w:val="continue"/>
            <w:vAlign w:val="center"/>
          </w:tcPr>
          <w:p>
            <w:pPr>
              <w:adjustRightInd w:val="0"/>
              <w:snapToGrid w:val="0"/>
              <w:jc w:val="center"/>
              <w:rPr>
                <w:rFonts w:ascii="??_GB2312" w:hAnsi="仿宋" w:eastAsia="Times New Roman"/>
                <w:b/>
                <w:bCs/>
                <w:szCs w:val="21"/>
              </w:rPr>
            </w:pPr>
          </w:p>
        </w:tc>
        <w:tc>
          <w:tcPr>
            <w:tcW w:w="1526" w:type="dxa"/>
            <w:vMerge w:val="continue"/>
          </w:tcPr>
          <w:p>
            <w:pPr>
              <w:adjustRightInd w:val="0"/>
              <w:snapToGrid w:val="0"/>
              <w:jc w:val="center"/>
              <w:rPr>
                <w:rFonts w:ascii="??_GB2312" w:hAnsi="仿宋" w:eastAsia="Times New Roman"/>
                <w:b/>
                <w:bCs/>
                <w:szCs w:val="21"/>
              </w:rPr>
            </w:pPr>
          </w:p>
        </w:tc>
        <w:tc>
          <w:tcPr>
            <w:tcW w:w="919" w:type="dxa"/>
            <w:vAlign w:val="center"/>
          </w:tcPr>
          <w:p>
            <w:pPr>
              <w:adjustRightInd w:val="0"/>
              <w:snapToGrid w:val="0"/>
              <w:jc w:val="center"/>
              <w:rPr>
                <w:rFonts w:ascii="??_GB2312" w:hAnsi="仿宋" w:eastAsia="Times New Roman"/>
                <w:b/>
                <w:bCs/>
                <w:color w:val="auto"/>
                <w:szCs w:val="21"/>
              </w:rPr>
            </w:pPr>
            <w:r>
              <w:rPr>
                <w:rFonts w:ascii="??_GB2312" w:hAnsi="仿宋" w:eastAsia="Times New Roman"/>
                <w:b/>
                <w:bCs/>
                <w:color w:val="auto"/>
                <w:szCs w:val="21"/>
              </w:rPr>
              <w:t>计划数</w:t>
            </w:r>
          </w:p>
        </w:tc>
        <w:tc>
          <w:tcPr>
            <w:tcW w:w="922" w:type="dxa"/>
            <w:vAlign w:val="center"/>
          </w:tcPr>
          <w:p>
            <w:pPr>
              <w:adjustRightInd w:val="0"/>
              <w:snapToGrid w:val="0"/>
              <w:jc w:val="center"/>
              <w:rPr>
                <w:rFonts w:ascii="??_GB2312" w:hAnsi="仿宋" w:eastAsia="Times New Roman"/>
                <w:b/>
                <w:bCs/>
                <w:color w:val="auto"/>
                <w:szCs w:val="21"/>
              </w:rPr>
            </w:pPr>
            <w:r>
              <w:rPr>
                <w:rFonts w:ascii="??_GB2312" w:hAnsi="仿宋" w:eastAsia="Times New Roman"/>
                <w:b/>
                <w:bCs/>
                <w:color w:val="auto"/>
                <w:szCs w:val="21"/>
              </w:rPr>
              <w:t>录取数</w:t>
            </w:r>
          </w:p>
        </w:tc>
        <w:tc>
          <w:tcPr>
            <w:tcW w:w="1607" w:type="dxa"/>
            <w:vAlign w:val="center"/>
          </w:tcPr>
          <w:p>
            <w:pPr>
              <w:adjustRightInd w:val="0"/>
              <w:snapToGrid w:val="0"/>
              <w:jc w:val="center"/>
              <w:rPr>
                <w:rFonts w:ascii="??_GB2312" w:hAnsi="仿宋" w:eastAsia="Times New Roman"/>
                <w:b/>
                <w:bCs/>
                <w:color w:val="auto"/>
                <w:szCs w:val="21"/>
              </w:rPr>
            </w:pPr>
            <w:r>
              <w:rPr>
                <w:rFonts w:ascii="??_GB2312" w:hAnsi="仿宋" w:eastAsia="Times New Roman"/>
                <w:b/>
                <w:bCs/>
                <w:color w:val="auto"/>
                <w:szCs w:val="21"/>
              </w:rPr>
              <w:t>录取最低分</w:t>
            </w:r>
          </w:p>
          <w:p>
            <w:pPr>
              <w:adjustRightInd w:val="0"/>
              <w:snapToGrid w:val="0"/>
              <w:jc w:val="center"/>
              <w:rPr>
                <w:rFonts w:ascii="??_GB2312" w:hAnsi="仿宋" w:eastAsia="Times New Roman"/>
                <w:b/>
                <w:bCs/>
                <w:color w:val="auto"/>
                <w:szCs w:val="21"/>
              </w:rPr>
            </w:pPr>
            <w:r>
              <w:rPr>
                <w:rFonts w:ascii="??_GB2312" w:hAnsi="仿宋" w:eastAsia="Times New Roman"/>
                <w:b/>
                <w:bCs/>
                <w:color w:val="auto"/>
                <w:szCs w:val="21"/>
              </w:rPr>
              <w:t>（四科总分）</w:t>
            </w:r>
          </w:p>
        </w:tc>
        <w:tc>
          <w:tcPr>
            <w:tcW w:w="781" w:type="dxa"/>
            <w:vAlign w:val="center"/>
          </w:tcPr>
          <w:p>
            <w:pPr>
              <w:adjustRightInd w:val="0"/>
              <w:snapToGrid w:val="0"/>
              <w:jc w:val="center"/>
              <w:rPr>
                <w:rFonts w:ascii="??_GB2312" w:hAnsi="仿宋" w:eastAsia="Times New Roman"/>
                <w:b/>
                <w:bCs/>
                <w:color w:val="auto"/>
                <w:szCs w:val="21"/>
              </w:rPr>
            </w:pPr>
            <w:r>
              <w:rPr>
                <w:rFonts w:ascii="??_GB2312" w:hAnsi="仿宋" w:eastAsia="Times New Roman"/>
                <w:b/>
                <w:bCs/>
                <w:color w:val="auto"/>
                <w:szCs w:val="21"/>
              </w:rPr>
              <w:t>最低排位</w:t>
            </w:r>
          </w:p>
        </w:tc>
      </w:tr>
      <w:tr>
        <w:trPr>
          <w:trHeight w:val="496" w:hRule="atLeast"/>
          <w:jc w:val="center"/>
        </w:trPr>
        <w:tc>
          <w:tcPr>
            <w:tcW w:w="1037" w:type="dxa"/>
            <w:vMerge w:val="restart"/>
            <w:vAlign w:val="center"/>
          </w:tcPr>
          <w:p>
            <w:pPr>
              <w:jc w:val="center"/>
            </w:pPr>
            <w:r>
              <w:t>教育学</w:t>
            </w:r>
          </w:p>
        </w:tc>
        <w:tc>
          <w:tcPr>
            <w:tcW w:w="1987" w:type="dxa"/>
            <w:vAlign w:val="center"/>
          </w:tcPr>
          <w:p>
            <w:pPr>
              <w:jc w:val="center"/>
            </w:pPr>
            <w:r>
              <w:t>学前教育（师范）</w:t>
            </w:r>
            <w:r>
              <w:rPr>
                <w:rFonts w:hint="eastAsia"/>
                <w:lang w:eastAsia="zh-CN"/>
              </w:rPr>
              <w:t>（</w:t>
            </w:r>
            <w:r>
              <w:rPr>
                <w:rFonts w:hint="eastAsia"/>
                <w:lang w:val="en-US" w:eastAsia="zh-CN"/>
              </w:rPr>
              <w:t>备注：</w:t>
            </w:r>
            <w:r>
              <w:rPr>
                <w:rFonts w:hint="eastAsia"/>
              </w:rPr>
              <w:t>不招色盲色弱</w:t>
            </w:r>
            <w:r>
              <w:rPr>
                <w:rFonts w:hint="eastAsia"/>
                <w:lang w:eastAsia="zh-CN"/>
              </w:rPr>
              <w:t>）</w:t>
            </w:r>
          </w:p>
        </w:tc>
        <w:tc>
          <w:tcPr>
            <w:tcW w:w="1338" w:type="dxa"/>
            <w:vMerge w:val="restart"/>
            <w:vAlign w:val="center"/>
          </w:tcPr>
          <w:p>
            <w:pPr>
              <w:jc w:val="center"/>
            </w:pPr>
            <w:r>
              <w:rPr>
                <w:rFonts w:hint="eastAsia"/>
                <w:lang w:val="en-US" w:eastAsia="zh-CN"/>
              </w:rPr>
              <w:t>招生</w:t>
            </w:r>
            <w:r>
              <w:t>计划以广东省教育考试院公布为准。</w:t>
            </w:r>
          </w:p>
        </w:tc>
        <w:tc>
          <w:tcPr>
            <w:tcW w:w="1526" w:type="dxa"/>
            <w:vMerge w:val="restart"/>
            <w:vAlign w:val="center"/>
          </w:tcPr>
          <w:p>
            <w:pPr>
              <w:jc w:val="center"/>
              <w:rPr>
                <w:rFonts w:hint="eastAsia"/>
                <w:lang w:eastAsia="zh-CN"/>
              </w:rPr>
            </w:pPr>
            <w:r>
              <w:t>学费5050</w:t>
            </w:r>
            <w:r>
              <w:rPr>
                <w:rFonts w:hint="eastAsia"/>
                <w:lang w:eastAsia="zh-CN"/>
              </w:rPr>
              <w:t>；</w:t>
            </w:r>
          </w:p>
          <w:p>
            <w:pPr>
              <w:jc w:val="center"/>
            </w:pPr>
            <w:r>
              <w:t>住宿费700-1500</w:t>
            </w:r>
          </w:p>
        </w:tc>
        <w:tc>
          <w:tcPr>
            <w:tcW w:w="919" w:type="dxa"/>
            <w:vAlign w:val="center"/>
          </w:tcPr>
          <w:p>
            <w:pPr>
              <w:jc w:val="center"/>
              <w:rPr>
                <w:rFonts w:hint="default" w:eastAsia="宋体"/>
                <w:color w:val="auto"/>
                <w:lang w:val="en-US" w:eastAsia="zh-CN"/>
              </w:rPr>
            </w:pPr>
            <w:r>
              <w:rPr>
                <w:rFonts w:hint="eastAsia"/>
                <w:color w:val="auto"/>
                <w:lang w:val="en-US" w:eastAsia="zh-CN"/>
              </w:rPr>
              <w:t>48</w:t>
            </w:r>
          </w:p>
        </w:tc>
        <w:tc>
          <w:tcPr>
            <w:tcW w:w="922" w:type="dxa"/>
            <w:vAlign w:val="center"/>
          </w:tcPr>
          <w:p>
            <w:pPr>
              <w:jc w:val="center"/>
              <w:rPr>
                <w:rFonts w:hint="default" w:eastAsia="宋体"/>
                <w:color w:val="auto"/>
                <w:lang w:val="en-US" w:eastAsia="zh-CN"/>
              </w:rPr>
            </w:pPr>
            <w:r>
              <w:rPr>
                <w:rFonts w:hint="eastAsia"/>
                <w:color w:val="auto"/>
                <w:lang w:val="en-US" w:eastAsia="zh-CN"/>
              </w:rPr>
              <w:t>48</w:t>
            </w:r>
          </w:p>
        </w:tc>
        <w:tc>
          <w:tcPr>
            <w:tcW w:w="1607" w:type="dxa"/>
            <w:vAlign w:val="center"/>
          </w:tcPr>
          <w:p>
            <w:pPr>
              <w:jc w:val="center"/>
              <w:rPr>
                <w:rFonts w:hint="default" w:eastAsia="宋体"/>
                <w:color w:val="auto"/>
                <w:lang w:val="en-US" w:eastAsia="zh-CN"/>
              </w:rPr>
            </w:pPr>
            <w:r>
              <w:rPr>
                <w:color w:val="auto"/>
              </w:rPr>
              <w:t>3</w:t>
            </w:r>
            <w:r>
              <w:rPr>
                <w:rFonts w:hint="eastAsia"/>
                <w:color w:val="auto"/>
                <w:lang w:val="en-US" w:eastAsia="zh-CN"/>
              </w:rPr>
              <w:t>77</w:t>
            </w:r>
          </w:p>
        </w:tc>
        <w:tc>
          <w:tcPr>
            <w:tcW w:w="781" w:type="dxa"/>
            <w:vAlign w:val="center"/>
          </w:tcPr>
          <w:p>
            <w:pPr>
              <w:jc w:val="center"/>
              <w:rPr>
                <w:rFonts w:hint="default" w:eastAsia="宋体"/>
                <w:color w:val="auto"/>
                <w:lang w:val="en-US" w:eastAsia="zh-CN"/>
              </w:rPr>
            </w:pPr>
            <w:r>
              <w:rPr>
                <w:rFonts w:hint="eastAsia"/>
                <w:color w:val="auto"/>
                <w:lang w:val="en-US" w:eastAsia="zh-CN"/>
              </w:rPr>
              <w:t>99</w:t>
            </w:r>
          </w:p>
        </w:tc>
      </w:tr>
      <w:tr>
        <w:trPr>
          <w:trHeight w:val="496" w:hRule="atLeast"/>
          <w:jc w:val="center"/>
        </w:trPr>
        <w:tc>
          <w:tcPr>
            <w:tcW w:w="1037" w:type="dxa"/>
            <w:vMerge w:val="continue"/>
            <w:vAlign w:val="center"/>
          </w:tcPr>
          <w:p>
            <w:pPr>
              <w:jc w:val="center"/>
            </w:pPr>
          </w:p>
        </w:tc>
        <w:tc>
          <w:tcPr>
            <w:tcW w:w="1987" w:type="dxa"/>
            <w:vAlign w:val="center"/>
          </w:tcPr>
          <w:p>
            <w:pPr>
              <w:jc w:val="center"/>
              <w:rPr>
                <w:rFonts w:hint="eastAsia"/>
                <w:lang w:val="en-US" w:eastAsia="zh-CN"/>
              </w:rPr>
            </w:pPr>
            <w:r>
              <w:t>学前教育（师范）</w:t>
            </w:r>
            <w:r>
              <w:rPr>
                <w:rFonts w:hint="eastAsia"/>
                <w:lang w:val="en-US" w:eastAsia="zh-CN"/>
              </w:rPr>
              <w:t>建档立卡</w:t>
            </w:r>
          </w:p>
          <w:p>
            <w:pPr>
              <w:jc w:val="center"/>
              <w:rPr>
                <w:rFonts w:hint="eastAsia" w:eastAsia="宋体"/>
                <w:lang w:val="en-US" w:eastAsia="zh-CN"/>
              </w:rPr>
            </w:pPr>
            <w:r>
              <w:rPr>
                <w:rFonts w:hint="eastAsia"/>
                <w:lang w:val="en-US" w:eastAsia="zh-CN"/>
              </w:rPr>
              <w:t>（备注：不招色盲色弱）</w:t>
            </w:r>
          </w:p>
        </w:tc>
        <w:tc>
          <w:tcPr>
            <w:tcW w:w="1338" w:type="dxa"/>
            <w:vMerge w:val="continue"/>
            <w:vAlign w:val="center"/>
          </w:tcPr>
          <w:p>
            <w:pPr>
              <w:jc w:val="center"/>
            </w:pPr>
          </w:p>
        </w:tc>
        <w:tc>
          <w:tcPr>
            <w:tcW w:w="1526" w:type="dxa"/>
            <w:vMerge w:val="continue"/>
            <w:vAlign w:val="center"/>
          </w:tcPr>
          <w:p>
            <w:pPr>
              <w:jc w:val="center"/>
            </w:pPr>
          </w:p>
        </w:tc>
        <w:tc>
          <w:tcPr>
            <w:tcW w:w="919" w:type="dxa"/>
            <w:vAlign w:val="center"/>
          </w:tcPr>
          <w:p>
            <w:pPr>
              <w:jc w:val="center"/>
              <w:rPr>
                <w:rFonts w:hint="eastAsia" w:eastAsia="宋体"/>
                <w:color w:val="auto"/>
                <w:lang w:val="en-US" w:eastAsia="zh-CN"/>
              </w:rPr>
            </w:pPr>
            <w:r>
              <w:rPr>
                <w:rFonts w:hint="eastAsia"/>
                <w:color w:val="auto"/>
                <w:lang w:val="en-US" w:eastAsia="zh-CN"/>
              </w:rPr>
              <w:t>8</w:t>
            </w:r>
          </w:p>
        </w:tc>
        <w:tc>
          <w:tcPr>
            <w:tcW w:w="922" w:type="dxa"/>
            <w:vAlign w:val="center"/>
          </w:tcPr>
          <w:p>
            <w:pPr>
              <w:jc w:val="center"/>
              <w:rPr>
                <w:rFonts w:hint="eastAsia" w:eastAsia="宋体"/>
                <w:color w:val="auto"/>
                <w:lang w:val="en-US" w:eastAsia="zh-CN"/>
              </w:rPr>
            </w:pPr>
            <w:r>
              <w:rPr>
                <w:rFonts w:hint="eastAsia"/>
                <w:color w:val="auto"/>
                <w:lang w:val="en-US" w:eastAsia="zh-CN"/>
              </w:rPr>
              <w:t>8</w:t>
            </w:r>
          </w:p>
        </w:tc>
        <w:tc>
          <w:tcPr>
            <w:tcW w:w="1607" w:type="dxa"/>
            <w:vAlign w:val="center"/>
          </w:tcPr>
          <w:p>
            <w:pPr>
              <w:jc w:val="center"/>
              <w:rPr>
                <w:rFonts w:hint="default" w:eastAsia="宋体"/>
                <w:color w:val="auto"/>
                <w:lang w:val="en-US" w:eastAsia="zh-CN"/>
              </w:rPr>
            </w:pPr>
            <w:r>
              <w:rPr>
                <w:rFonts w:hint="eastAsia"/>
                <w:color w:val="auto"/>
                <w:lang w:val="en-US" w:eastAsia="zh-CN"/>
              </w:rPr>
              <w:t>335</w:t>
            </w:r>
          </w:p>
        </w:tc>
        <w:tc>
          <w:tcPr>
            <w:tcW w:w="781" w:type="dxa"/>
            <w:vAlign w:val="center"/>
          </w:tcPr>
          <w:p>
            <w:pPr>
              <w:jc w:val="center"/>
              <w:rPr>
                <w:rFonts w:hint="default" w:eastAsia="宋体"/>
                <w:color w:val="auto"/>
                <w:lang w:val="en-US" w:eastAsia="zh-CN"/>
              </w:rPr>
            </w:pPr>
            <w:r>
              <w:rPr>
                <w:rFonts w:hint="eastAsia"/>
                <w:color w:val="auto"/>
                <w:lang w:val="en-US" w:eastAsia="zh-CN"/>
              </w:rPr>
              <w:t>617</w:t>
            </w:r>
          </w:p>
        </w:tc>
      </w:tr>
      <w:tr>
        <w:trPr>
          <w:trHeight w:val="672" w:hRule="atLeast"/>
          <w:jc w:val="center"/>
        </w:trPr>
        <w:tc>
          <w:tcPr>
            <w:tcW w:w="1037" w:type="dxa"/>
            <w:vMerge w:val="restart"/>
            <w:vAlign w:val="center"/>
          </w:tcPr>
          <w:p>
            <w:pPr>
              <w:jc w:val="center"/>
              <w:rPr>
                <w:rFonts w:hint="eastAsia"/>
                <w:lang w:val="en-US" w:eastAsia="zh-CN"/>
              </w:rPr>
            </w:pPr>
            <w:r>
              <w:rPr>
                <w:rFonts w:hint="eastAsia"/>
                <w:lang w:val="en-US" w:eastAsia="zh-CN"/>
              </w:rPr>
              <w:t>文学</w:t>
            </w:r>
          </w:p>
        </w:tc>
        <w:tc>
          <w:tcPr>
            <w:tcW w:w="1987" w:type="dxa"/>
            <w:vAlign w:val="center"/>
          </w:tcPr>
          <w:p>
            <w:pPr>
              <w:jc w:val="center"/>
              <w:rPr>
                <w:rFonts w:hint="default"/>
                <w:lang w:val="en-US" w:eastAsia="zh-CN"/>
              </w:rPr>
            </w:pPr>
            <w:r>
              <w:rPr>
                <w:rFonts w:hint="eastAsia"/>
                <w:lang w:val="en-US" w:eastAsia="zh-CN"/>
              </w:rPr>
              <w:t>汉语言文学（师范）</w:t>
            </w:r>
          </w:p>
        </w:tc>
        <w:tc>
          <w:tcPr>
            <w:tcW w:w="1338" w:type="dxa"/>
            <w:vMerge w:val="continue"/>
            <w:vAlign w:val="center"/>
          </w:tcPr>
          <w:p>
            <w:pPr>
              <w:jc w:val="center"/>
              <w:rPr>
                <w:rFonts w:hint="default"/>
                <w:lang w:val="en-US" w:eastAsia="zh-CN"/>
              </w:rPr>
            </w:pPr>
          </w:p>
        </w:tc>
        <w:tc>
          <w:tcPr>
            <w:tcW w:w="1526" w:type="dxa"/>
            <w:vMerge w:val="continue"/>
            <w:vAlign w:val="center"/>
          </w:tcPr>
          <w:p>
            <w:pPr>
              <w:jc w:val="center"/>
            </w:pPr>
          </w:p>
        </w:tc>
        <w:tc>
          <w:tcPr>
            <w:tcW w:w="919" w:type="dxa"/>
            <w:vAlign w:val="center"/>
          </w:tcPr>
          <w:p>
            <w:pPr>
              <w:jc w:val="center"/>
              <w:rPr>
                <w:rFonts w:hint="default"/>
                <w:color w:val="auto"/>
                <w:lang w:val="en-US" w:eastAsia="zh-CN"/>
              </w:rPr>
            </w:pPr>
            <w:r>
              <w:rPr>
                <w:rFonts w:hint="eastAsia"/>
                <w:color w:val="auto"/>
                <w:lang w:val="en-US" w:eastAsia="zh-CN"/>
              </w:rPr>
              <w:t>37</w:t>
            </w:r>
          </w:p>
        </w:tc>
        <w:tc>
          <w:tcPr>
            <w:tcW w:w="922" w:type="dxa"/>
            <w:vAlign w:val="center"/>
          </w:tcPr>
          <w:p>
            <w:pPr>
              <w:jc w:val="center"/>
              <w:rPr>
                <w:rFonts w:hint="default"/>
                <w:color w:val="auto"/>
                <w:lang w:val="en-US" w:eastAsia="zh-CN"/>
              </w:rPr>
            </w:pPr>
            <w:r>
              <w:rPr>
                <w:rFonts w:hint="eastAsia"/>
                <w:color w:val="auto"/>
                <w:lang w:val="en-US" w:eastAsia="zh-CN"/>
              </w:rPr>
              <w:t>37</w:t>
            </w:r>
          </w:p>
        </w:tc>
        <w:tc>
          <w:tcPr>
            <w:tcW w:w="1607" w:type="dxa"/>
            <w:vAlign w:val="center"/>
          </w:tcPr>
          <w:p>
            <w:pPr>
              <w:jc w:val="center"/>
              <w:rPr>
                <w:rFonts w:hint="default"/>
                <w:color w:val="auto"/>
                <w:lang w:val="en-US" w:eastAsia="zh-CN"/>
              </w:rPr>
            </w:pPr>
            <w:r>
              <w:rPr>
                <w:rFonts w:hint="eastAsia"/>
                <w:color w:val="auto"/>
                <w:lang w:val="en-US" w:eastAsia="zh-CN"/>
              </w:rPr>
              <w:t>383</w:t>
            </w:r>
          </w:p>
        </w:tc>
        <w:tc>
          <w:tcPr>
            <w:tcW w:w="781" w:type="dxa"/>
            <w:vAlign w:val="center"/>
          </w:tcPr>
          <w:p>
            <w:pPr>
              <w:jc w:val="center"/>
              <w:rPr>
                <w:rFonts w:hint="default"/>
                <w:color w:val="auto"/>
                <w:lang w:val="en-US" w:eastAsia="zh-CN"/>
              </w:rPr>
            </w:pPr>
            <w:r>
              <w:rPr>
                <w:rFonts w:hint="eastAsia"/>
                <w:color w:val="auto"/>
                <w:lang w:val="en-US" w:eastAsia="zh-CN"/>
              </w:rPr>
              <w:t>56</w:t>
            </w:r>
          </w:p>
        </w:tc>
      </w:tr>
      <w:tr>
        <w:trPr>
          <w:trHeight w:val="672" w:hRule="atLeast"/>
          <w:jc w:val="center"/>
        </w:trPr>
        <w:tc>
          <w:tcPr>
            <w:tcW w:w="1037" w:type="dxa"/>
            <w:vMerge w:val="continue"/>
            <w:vAlign w:val="center"/>
          </w:tcPr>
          <w:p>
            <w:pPr>
              <w:jc w:val="center"/>
            </w:pPr>
          </w:p>
        </w:tc>
        <w:tc>
          <w:tcPr>
            <w:tcW w:w="1987" w:type="dxa"/>
            <w:vAlign w:val="center"/>
          </w:tcPr>
          <w:p>
            <w:pPr>
              <w:jc w:val="center"/>
              <w:rPr>
                <w:rFonts w:hint="eastAsia"/>
                <w:lang w:val="en-US" w:eastAsia="zh-CN"/>
              </w:rPr>
            </w:pPr>
            <w:r>
              <w:rPr>
                <w:rFonts w:hint="eastAsia"/>
                <w:lang w:val="en-US" w:eastAsia="zh-CN"/>
              </w:rPr>
              <w:t>汉语言文学（师范）</w:t>
            </w:r>
          </w:p>
          <w:p>
            <w:pPr>
              <w:jc w:val="center"/>
            </w:pPr>
            <w:r>
              <w:rPr>
                <w:rFonts w:hint="eastAsia"/>
                <w:lang w:val="en-US" w:eastAsia="zh-CN"/>
              </w:rPr>
              <w:t>建档立卡</w:t>
            </w:r>
          </w:p>
        </w:tc>
        <w:tc>
          <w:tcPr>
            <w:tcW w:w="1338" w:type="dxa"/>
            <w:vMerge w:val="continue"/>
            <w:vAlign w:val="center"/>
          </w:tcPr>
          <w:p>
            <w:pPr>
              <w:jc w:val="center"/>
            </w:pPr>
          </w:p>
        </w:tc>
        <w:tc>
          <w:tcPr>
            <w:tcW w:w="1526" w:type="dxa"/>
            <w:vMerge w:val="continue"/>
            <w:vAlign w:val="center"/>
          </w:tcPr>
          <w:p>
            <w:pPr>
              <w:jc w:val="center"/>
            </w:pPr>
          </w:p>
        </w:tc>
        <w:tc>
          <w:tcPr>
            <w:tcW w:w="919" w:type="dxa"/>
            <w:vAlign w:val="center"/>
          </w:tcPr>
          <w:p>
            <w:pPr>
              <w:jc w:val="center"/>
              <w:rPr>
                <w:rFonts w:hint="eastAsia"/>
                <w:color w:val="auto"/>
                <w:lang w:val="en-US" w:eastAsia="zh-CN"/>
              </w:rPr>
            </w:pPr>
            <w:r>
              <w:rPr>
                <w:rFonts w:hint="eastAsia"/>
                <w:color w:val="auto"/>
                <w:lang w:val="en-US" w:eastAsia="zh-CN"/>
              </w:rPr>
              <w:t>8</w:t>
            </w:r>
          </w:p>
        </w:tc>
        <w:tc>
          <w:tcPr>
            <w:tcW w:w="922" w:type="dxa"/>
            <w:vAlign w:val="center"/>
          </w:tcPr>
          <w:p>
            <w:pPr>
              <w:jc w:val="center"/>
              <w:rPr>
                <w:rFonts w:hint="eastAsia"/>
                <w:color w:val="auto"/>
                <w:lang w:val="en-US" w:eastAsia="zh-CN"/>
              </w:rPr>
            </w:pPr>
            <w:r>
              <w:rPr>
                <w:rFonts w:hint="eastAsia"/>
                <w:color w:val="auto"/>
                <w:lang w:val="en-US" w:eastAsia="zh-CN"/>
              </w:rPr>
              <w:t>8</w:t>
            </w:r>
          </w:p>
        </w:tc>
        <w:tc>
          <w:tcPr>
            <w:tcW w:w="1607"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color w:val="auto"/>
                <w:lang w:val="en-US" w:eastAsia="zh-CN"/>
              </w:rPr>
              <w:t>360</w:t>
            </w:r>
          </w:p>
        </w:tc>
        <w:tc>
          <w:tcPr>
            <w:tcW w:w="781"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color w:val="auto"/>
                <w:lang w:val="en-US" w:eastAsia="zh-CN"/>
              </w:rPr>
              <w:t>305</w:t>
            </w:r>
          </w:p>
        </w:tc>
      </w:tr>
    </w:tbl>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我校普通专升本招生专业无前置专业的限制，考生须根据自身能力报考。</w:t>
      </w:r>
    </w:p>
    <w:p>
      <w:pPr>
        <w:pStyle w:val="4"/>
        <w:spacing w:line="550" w:lineRule="exact"/>
        <w:ind w:firstLine="31680"/>
        <w:outlineLvl w:val="0"/>
        <w:rPr>
          <w:rFonts w:ascii="黑体" w:hAnsi="黑体" w:eastAsia="黑体"/>
          <w:sz w:val="32"/>
          <w:szCs w:val="32"/>
        </w:rPr>
      </w:pPr>
      <w:r>
        <w:rPr>
          <w:rFonts w:hint="eastAsia" w:ascii="黑体" w:hAnsi="黑体" w:eastAsia="黑体"/>
          <w:sz w:val="32"/>
          <w:szCs w:val="32"/>
        </w:rPr>
        <w:t>四、准考证的领取</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考生在广东省教育考试院规定时间内自行登录报名系统打印准考证。</w:t>
      </w:r>
    </w:p>
    <w:p>
      <w:pPr>
        <w:pStyle w:val="4"/>
        <w:spacing w:line="550" w:lineRule="exact"/>
        <w:ind w:firstLine="31680"/>
        <w:outlineLvl w:val="0"/>
        <w:rPr>
          <w:rFonts w:ascii="黑体" w:hAnsi="黑体" w:eastAsia="黑体"/>
          <w:sz w:val="32"/>
          <w:szCs w:val="32"/>
        </w:rPr>
      </w:pPr>
      <w:r>
        <w:rPr>
          <w:rFonts w:hint="eastAsia" w:ascii="黑体" w:hAnsi="黑体" w:eastAsia="黑体"/>
          <w:sz w:val="32"/>
          <w:szCs w:val="32"/>
        </w:rPr>
        <w:t>五、考试</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考试科目为四门，总分共500分。其中《政治理论》、《英语》和《专业基础课》满分各为100分，每科考试时间为120分钟；《专业综合课》满分为200分，考试时间为150分钟。考试形式一律为闭卷考试。考试科目及考试地点具体安排见《准考证》。</w:t>
      </w:r>
    </w:p>
    <w:p>
      <w:pPr>
        <w:adjustRightInd w:val="0"/>
        <w:snapToGrid w:val="0"/>
        <w:spacing w:line="560" w:lineRule="exact"/>
        <w:ind w:firstLine="640" w:firstLineChars="200"/>
        <w:jc w:val="left"/>
        <w:outlineLvl w:val="0"/>
        <w:rPr>
          <w:rFonts w:eastAsia="楷体_GB2312"/>
          <w:bCs/>
          <w:color w:val="auto"/>
          <w:sz w:val="32"/>
          <w:szCs w:val="32"/>
        </w:rPr>
      </w:pPr>
      <w:r>
        <w:rPr>
          <w:rFonts w:eastAsia="楷体_GB2312"/>
          <w:bCs/>
          <w:color w:val="auto"/>
          <w:sz w:val="32"/>
          <w:szCs w:val="32"/>
        </w:rPr>
        <w:t>（</w:t>
      </w:r>
      <w:r>
        <w:rPr>
          <w:rFonts w:hint="eastAsia" w:eastAsia="楷体_GB2312"/>
          <w:bCs/>
          <w:color w:val="auto"/>
          <w:sz w:val="32"/>
          <w:szCs w:val="32"/>
          <w:lang w:val="en-US" w:eastAsia="zh-CN"/>
        </w:rPr>
        <w:t>一</w:t>
      </w:r>
      <w:r>
        <w:rPr>
          <w:rFonts w:eastAsia="楷体_GB2312"/>
          <w:bCs/>
          <w:color w:val="auto"/>
          <w:sz w:val="32"/>
          <w:szCs w:val="32"/>
        </w:rPr>
        <w:t>）广东省202</w:t>
      </w:r>
      <w:r>
        <w:rPr>
          <w:rFonts w:hint="eastAsia" w:eastAsia="楷体_GB2312"/>
          <w:bCs/>
          <w:color w:val="auto"/>
          <w:sz w:val="32"/>
          <w:szCs w:val="32"/>
          <w:lang w:val="en-US" w:eastAsia="zh-CN"/>
        </w:rPr>
        <w:t>4</w:t>
      </w:r>
      <w:r>
        <w:rPr>
          <w:rFonts w:eastAsia="楷体_GB2312"/>
          <w:bCs/>
          <w:color w:val="auto"/>
          <w:sz w:val="32"/>
          <w:szCs w:val="32"/>
        </w:rPr>
        <w:t>年普通专升本招生考试时间表（北京时间）</w:t>
      </w:r>
    </w:p>
    <w:tbl>
      <w:tblPr>
        <w:tblStyle w:val="9"/>
        <w:tblW w:w="8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gridCol w:w="1774"/>
        <w:gridCol w:w="1713"/>
        <w:gridCol w:w="1821"/>
        <w:gridCol w:w="1559"/>
      </w:tblGrid>
      <w:tr>
        <w:trPr>
          <w:jc w:val="center"/>
        </w:trPr>
        <w:tc>
          <w:tcPr>
            <w:tcW w:w="1781" w:type="dxa"/>
            <w:vMerge w:val="restart"/>
            <w:tcBorders>
              <w:tl2br w:val="single" w:color="auto" w:sz="4" w:space="0"/>
            </w:tcBorders>
            <w:noWrap/>
            <w:vAlign w:val="center"/>
          </w:tcPr>
          <w:p>
            <w:pPr>
              <w:adjustRightInd w:val="0"/>
              <w:snapToGrid w:val="0"/>
              <w:spacing w:line="550" w:lineRule="exact"/>
              <w:ind w:firstLine="480" w:firstLineChars="200"/>
              <w:jc w:val="center"/>
              <w:rPr>
                <w:rFonts w:ascii="黑体" w:hAnsi="黑体" w:eastAsia="黑体"/>
                <w:bCs/>
                <w:sz w:val="24"/>
              </w:rPr>
            </w:pPr>
            <w:r>
              <w:rPr>
                <w:rFonts w:ascii="黑体" w:hAnsi="黑体" w:eastAsia="黑体"/>
                <w:bCs/>
                <w:sz w:val="24"/>
              </w:rPr>
              <w:t xml:space="preserve">   </w:t>
            </w:r>
            <w:r>
              <w:rPr>
                <w:rFonts w:hint="eastAsia" w:ascii="黑体" w:hAnsi="黑体" w:eastAsia="黑体"/>
                <w:bCs/>
                <w:sz w:val="24"/>
              </w:rPr>
              <w:t>项目</w:t>
            </w:r>
            <w:r>
              <w:rPr>
                <w:rFonts w:ascii="黑体" w:hAnsi="黑体" w:eastAsia="黑体"/>
                <w:bCs/>
                <w:sz w:val="24"/>
              </w:rPr>
              <w:t xml:space="preserve">     </w:t>
            </w:r>
          </w:p>
          <w:p>
            <w:pPr>
              <w:adjustRightInd w:val="0"/>
              <w:snapToGrid w:val="0"/>
              <w:spacing w:line="550" w:lineRule="exact"/>
              <w:ind w:firstLine="480" w:firstLineChars="200"/>
              <w:rPr>
                <w:rFonts w:ascii="??_GB2312" w:hAnsi="仿宋" w:eastAsia="Times New Roman"/>
                <w:bCs/>
                <w:sz w:val="24"/>
              </w:rPr>
            </w:pPr>
            <w:r>
              <w:rPr>
                <w:rFonts w:hint="eastAsia" w:ascii="黑体" w:hAnsi="黑体" w:eastAsia="黑体"/>
                <w:bCs/>
                <w:sz w:val="24"/>
              </w:rPr>
              <w:t>日期</w:t>
            </w:r>
          </w:p>
        </w:tc>
        <w:tc>
          <w:tcPr>
            <w:tcW w:w="3487" w:type="dxa"/>
            <w:gridSpan w:val="2"/>
            <w:noWrap/>
            <w:vAlign w:val="center"/>
          </w:tcPr>
          <w:p>
            <w:pPr>
              <w:adjustRightInd w:val="0"/>
              <w:snapToGrid w:val="0"/>
              <w:spacing w:line="550" w:lineRule="exact"/>
              <w:jc w:val="center"/>
              <w:rPr>
                <w:rFonts w:ascii="黑体" w:hAnsi="黑体" w:eastAsia="黑体"/>
                <w:bCs/>
                <w:sz w:val="24"/>
              </w:rPr>
            </w:pPr>
            <w:r>
              <w:rPr>
                <w:rFonts w:hint="eastAsia" w:ascii="黑体" w:hAnsi="黑体" w:eastAsia="黑体"/>
                <w:bCs/>
                <w:sz w:val="24"/>
              </w:rPr>
              <w:t>上午</w:t>
            </w:r>
          </w:p>
        </w:tc>
        <w:tc>
          <w:tcPr>
            <w:tcW w:w="3380" w:type="dxa"/>
            <w:gridSpan w:val="2"/>
            <w:noWrap/>
            <w:vAlign w:val="center"/>
          </w:tcPr>
          <w:p>
            <w:pPr>
              <w:adjustRightInd w:val="0"/>
              <w:snapToGrid w:val="0"/>
              <w:spacing w:line="550" w:lineRule="exact"/>
              <w:jc w:val="center"/>
              <w:rPr>
                <w:rFonts w:ascii="黑体" w:hAnsi="黑体" w:eastAsia="黑体"/>
                <w:bCs/>
                <w:sz w:val="24"/>
              </w:rPr>
            </w:pPr>
            <w:r>
              <w:rPr>
                <w:rFonts w:hint="eastAsia" w:ascii="黑体" w:hAnsi="黑体" w:eastAsia="黑体"/>
                <w:bCs/>
                <w:sz w:val="24"/>
              </w:rPr>
              <w:t>下午</w:t>
            </w:r>
          </w:p>
        </w:tc>
      </w:tr>
      <w:tr>
        <w:trPr>
          <w:jc w:val="center"/>
        </w:trPr>
        <w:tc>
          <w:tcPr>
            <w:tcW w:w="1781" w:type="dxa"/>
            <w:vMerge w:val="continue"/>
            <w:noWrap/>
            <w:vAlign w:val="center"/>
          </w:tcPr>
          <w:p>
            <w:pPr>
              <w:widowControl/>
              <w:snapToGrid w:val="0"/>
              <w:spacing w:line="550" w:lineRule="exact"/>
              <w:ind w:firstLine="480" w:firstLineChars="200"/>
              <w:jc w:val="left"/>
              <w:rPr>
                <w:rFonts w:ascii="??_GB2312" w:hAnsi="仿宋" w:eastAsia="Times New Roman"/>
                <w:bCs/>
                <w:sz w:val="24"/>
              </w:rPr>
            </w:pPr>
          </w:p>
        </w:tc>
        <w:tc>
          <w:tcPr>
            <w:tcW w:w="1774" w:type="dxa"/>
            <w:noWrap/>
            <w:vAlign w:val="center"/>
          </w:tcPr>
          <w:p>
            <w:pPr>
              <w:adjustRightInd w:val="0"/>
              <w:snapToGrid w:val="0"/>
              <w:spacing w:line="550" w:lineRule="exact"/>
              <w:ind w:firstLine="480" w:firstLineChars="200"/>
              <w:rPr>
                <w:rFonts w:ascii="黑体" w:hAnsi="黑体" w:eastAsia="黑体"/>
                <w:bCs/>
                <w:sz w:val="24"/>
              </w:rPr>
            </w:pPr>
            <w:r>
              <w:rPr>
                <w:rFonts w:hint="eastAsia" w:ascii="黑体" w:hAnsi="黑体" w:eastAsia="黑体"/>
                <w:bCs/>
                <w:sz w:val="24"/>
              </w:rPr>
              <w:t>时间</w:t>
            </w:r>
          </w:p>
        </w:tc>
        <w:tc>
          <w:tcPr>
            <w:tcW w:w="1713" w:type="dxa"/>
            <w:noWrap/>
            <w:vAlign w:val="center"/>
          </w:tcPr>
          <w:p>
            <w:pPr>
              <w:adjustRightInd w:val="0"/>
              <w:snapToGrid w:val="0"/>
              <w:spacing w:line="550" w:lineRule="exact"/>
              <w:ind w:firstLine="480" w:firstLineChars="200"/>
              <w:rPr>
                <w:rFonts w:ascii="黑体" w:hAnsi="黑体" w:eastAsia="黑体"/>
                <w:bCs/>
                <w:sz w:val="24"/>
              </w:rPr>
            </w:pPr>
            <w:r>
              <w:rPr>
                <w:rFonts w:hint="eastAsia" w:ascii="黑体" w:hAnsi="黑体" w:eastAsia="黑体"/>
                <w:bCs/>
                <w:sz w:val="24"/>
              </w:rPr>
              <w:t>科目</w:t>
            </w:r>
          </w:p>
        </w:tc>
        <w:tc>
          <w:tcPr>
            <w:tcW w:w="1821" w:type="dxa"/>
            <w:noWrap/>
            <w:vAlign w:val="center"/>
          </w:tcPr>
          <w:p>
            <w:pPr>
              <w:adjustRightInd w:val="0"/>
              <w:snapToGrid w:val="0"/>
              <w:spacing w:line="550" w:lineRule="exact"/>
              <w:ind w:firstLine="480" w:firstLineChars="200"/>
              <w:rPr>
                <w:rFonts w:ascii="黑体" w:hAnsi="黑体" w:eastAsia="黑体"/>
                <w:bCs/>
                <w:sz w:val="24"/>
              </w:rPr>
            </w:pPr>
            <w:r>
              <w:rPr>
                <w:rFonts w:hint="eastAsia" w:ascii="黑体" w:hAnsi="黑体" w:eastAsia="黑体"/>
                <w:bCs/>
                <w:sz w:val="24"/>
              </w:rPr>
              <w:t>时间</w:t>
            </w:r>
          </w:p>
        </w:tc>
        <w:tc>
          <w:tcPr>
            <w:tcW w:w="1559" w:type="dxa"/>
            <w:noWrap/>
            <w:vAlign w:val="center"/>
          </w:tcPr>
          <w:p>
            <w:pPr>
              <w:adjustRightInd w:val="0"/>
              <w:snapToGrid w:val="0"/>
              <w:spacing w:line="550" w:lineRule="exact"/>
              <w:ind w:firstLine="480" w:firstLineChars="200"/>
              <w:rPr>
                <w:rFonts w:ascii="黑体" w:hAnsi="黑体" w:eastAsia="黑体"/>
                <w:bCs/>
                <w:sz w:val="24"/>
              </w:rPr>
            </w:pPr>
            <w:r>
              <w:rPr>
                <w:rFonts w:hint="eastAsia" w:ascii="黑体" w:hAnsi="黑体" w:eastAsia="黑体"/>
                <w:bCs/>
                <w:sz w:val="24"/>
              </w:rPr>
              <w:t>科目</w:t>
            </w:r>
          </w:p>
        </w:tc>
      </w:tr>
      <w:tr>
        <w:trPr>
          <w:trHeight w:val="399" w:hRule="atLeast"/>
          <w:jc w:val="center"/>
        </w:trPr>
        <w:tc>
          <w:tcPr>
            <w:tcW w:w="1781" w:type="dxa"/>
            <w:vMerge w:val="restart"/>
            <w:noWrap/>
            <w:vAlign w:val="center"/>
          </w:tcPr>
          <w:p>
            <w:pPr>
              <w:adjustRightInd w:val="0"/>
              <w:snapToGrid w:val="0"/>
              <w:spacing w:line="400" w:lineRule="exact"/>
              <w:jc w:val="center"/>
              <w:rPr>
                <w:rFonts w:ascii="??_GB2312" w:hAnsi="仿宋" w:eastAsia="Times New Roman"/>
                <w:bCs/>
                <w:sz w:val="24"/>
              </w:rPr>
            </w:pPr>
            <w:r>
              <w:rPr>
                <w:rFonts w:ascii="??_GB2312" w:hAnsi="仿宋" w:eastAsia="Times New Roman"/>
                <w:bCs/>
                <w:sz w:val="24"/>
              </w:rPr>
              <w:t>3月</w:t>
            </w:r>
            <w:r>
              <w:rPr>
                <w:rFonts w:hint="eastAsia" w:ascii="??_GB2312" w:hAnsi="仿宋"/>
                <w:bCs/>
                <w:sz w:val="24"/>
                <w:lang w:val="en-US" w:eastAsia="zh-CN"/>
              </w:rPr>
              <w:t>30</w:t>
            </w:r>
            <w:r>
              <w:rPr>
                <w:rFonts w:ascii="??_GB2312" w:hAnsi="仿宋" w:eastAsia="Times New Roman"/>
                <w:bCs/>
                <w:sz w:val="24"/>
              </w:rPr>
              <w:t>日</w:t>
            </w:r>
          </w:p>
          <w:p>
            <w:pPr>
              <w:adjustRightInd w:val="0"/>
              <w:snapToGrid w:val="0"/>
              <w:spacing w:line="400" w:lineRule="exact"/>
              <w:rPr>
                <w:rFonts w:ascii="??_GB2312" w:hAnsi="仿宋" w:eastAsia="Times New Roman"/>
                <w:bCs/>
                <w:sz w:val="24"/>
              </w:rPr>
            </w:pPr>
            <w:r>
              <w:rPr>
                <w:rFonts w:ascii="??_GB2312" w:hAnsi="仿宋" w:eastAsia="Times New Roman"/>
                <w:bCs/>
                <w:sz w:val="24"/>
              </w:rPr>
              <w:t>（省指定考点）</w:t>
            </w:r>
          </w:p>
        </w:tc>
        <w:tc>
          <w:tcPr>
            <w:tcW w:w="1774" w:type="dxa"/>
            <w:noWrap/>
            <w:vAlign w:val="center"/>
          </w:tcPr>
          <w:p>
            <w:pPr>
              <w:adjustRightInd w:val="0"/>
              <w:snapToGrid w:val="0"/>
              <w:spacing w:line="400" w:lineRule="exact"/>
              <w:jc w:val="center"/>
              <w:rPr>
                <w:rFonts w:ascii="??_GB2312" w:hAnsi="仿宋" w:eastAsia="Times New Roman"/>
                <w:bCs/>
                <w:sz w:val="24"/>
              </w:rPr>
            </w:pPr>
            <w:r>
              <w:rPr>
                <w:rFonts w:ascii="??_GB2312" w:hAnsi="仿宋" w:eastAsia="Times New Roman"/>
                <w:bCs/>
                <w:sz w:val="24"/>
              </w:rPr>
              <w:t>8:00-10:00</w:t>
            </w:r>
          </w:p>
        </w:tc>
        <w:tc>
          <w:tcPr>
            <w:tcW w:w="1713" w:type="dxa"/>
            <w:noWrap/>
            <w:vAlign w:val="center"/>
          </w:tcPr>
          <w:p>
            <w:pPr>
              <w:adjustRightInd w:val="0"/>
              <w:snapToGrid w:val="0"/>
              <w:spacing w:line="400" w:lineRule="exact"/>
              <w:jc w:val="center"/>
              <w:rPr>
                <w:rFonts w:ascii="??_GB2312" w:hAnsi="仿宋" w:eastAsia="Times New Roman"/>
                <w:bCs/>
                <w:sz w:val="24"/>
              </w:rPr>
            </w:pPr>
            <w:r>
              <w:rPr>
                <w:rFonts w:ascii="??_GB2312" w:hAnsi="仿宋" w:eastAsia="Times New Roman"/>
                <w:bCs/>
                <w:sz w:val="24"/>
              </w:rPr>
              <w:t>政治理论</w:t>
            </w:r>
          </w:p>
        </w:tc>
        <w:tc>
          <w:tcPr>
            <w:tcW w:w="1821" w:type="dxa"/>
            <w:vMerge w:val="restart"/>
            <w:noWrap/>
            <w:vAlign w:val="center"/>
          </w:tcPr>
          <w:p>
            <w:pPr>
              <w:adjustRightInd w:val="0"/>
              <w:snapToGrid w:val="0"/>
              <w:spacing w:line="400" w:lineRule="exact"/>
              <w:jc w:val="center"/>
              <w:rPr>
                <w:rFonts w:ascii="??_GB2312" w:hAnsi="仿宋" w:eastAsia="Times New Roman"/>
                <w:bCs/>
                <w:sz w:val="24"/>
              </w:rPr>
            </w:pPr>
            <w:r>
              <w:rPr>
                <w:rFonts w:ascii="??_GB2312" w:hAnsi="仿宋" w:eastAsia="Times New Roman"/>
                <w:bCs/>
                <w:sz w:val="24"/>
              </w:rPr>
              <w:t>15:00-17:00</w:t>
            </w:r>
          </w:p>
        </w:tc>
        <w:tc>
          <w:tcPr>
            <w:tcW w:w="1559" w:type="dxa"/>
            <w:vMerge w:val="restart"/>
            <w:noWrap/>
            <w:vAlign w:val="center"/>
          </w:tcPr>
          <w:p>
            <w:pPr>
              <w:adjustRightInd w:val="0"/>
              <w:snapToGrid w:val="0"/>
              <w:spacing w:line="400" w:lineRule="exact"/>
              <w:jc w:val="center"/>
              <w:rPr>
                <w:rFonts w:ascii="??_GB2312" w:hAnsi="仿宋" w:eastAsia="Times New Roman"/>
                <w:bCs/>
                <w:sz w:val="24"/>
              </w:rPr>
            </w:pPr>
            <w:r>
              <w:rPr>
                <w:rFonts w:ascii="??_GB2312" w:hAnsi="仿宋" w:eastAsia="Times New Roman"/>
                <w:bCs/>
                <w:sz w:val="24"/>
              </w:rPr>
              <w:t>专业基础课</w:t>
            </w:r>
          </w:p>
        </w:tc>
      </w:tr>
      <w:tr>
        <w:trPr>
          <w:jc w:val="center"/>
        </w:trPr>
        <w:tc>
          <w:tcPr>
            <w:tcW w:w="1781" w:type="dxa"/>
            <w:vMerge w:val="continue"/>
            <w:noWrap/>
            <w:vAlign w:val="center"/>
          </w:tcPr>
          <w:p>
            <w:pPr>
              <w:widowControl/>
              <w:snapToGrid w:val="0"/>
              <w:spacing w:line="400" w:lineRule="exact"/>
              <w:ind w:firstLine="480" w:firstLineChars="200"/>
              <w:jc w:val="left"/>
              <w:rPr>
                <w:rFonts w:ascii="??_GB2312" w:hAnsi="仿宋" w:eastAsia="Times New Roman"/>
                <w:bCs/>
                <w:sz w:val="24"/>
              </w:rPr>
            </w:pPr>
          </w:p>
        </w:tc>
        <w:tc>
          <w:tcPr>
            <w:tcW w:w="1774" w:type="dxa"/>
            <w:noWrap/>
            <w:vAlign w:val="center"/>
          </w:tcPr>
          <w:p>
            <w:pPr>
              <w:adjustRightInd w:val="0"/>
              <w:snapToGrid w:val="0"/>
              <w:spacing w:line="400" w:lineRule="exact"/>
              <w:jc w:val="center"/>
              <w:rPr>
                <w:rFonts w:ascii="??_GB2312" w:hAnsi="仿宋" w:eastAsia="Times New Roman"/>
                <w:bCs/>
                <w:sz w:val="24"/>
              </w:rPr>
            </w:pPr>
            <w:r>
              <w:rPr>
                <w:rFonts w:ascii="??_GB2312" w:hAnsi="仿宋" w:eastAsia="Times New Roman"/>
                <w:bCs/>
                <w:sz w:val="24"/>
              </w:rPr>
              <w:t>10:30-12:30</w:t>
            </w:r>
          </w:p>
        </w:tc>
        <w:tc>
          <w:tcPr>
            <w:tcW w:w="1713" w:type="dxa"/>
            <w:noWrap/>
            <w:vAlign w:val="center"/>
          </w:tcPr>
          <w:p>
            <w:pPr>
              <w:adjustRightInd w:val="0"/>
              <w:snapToGrid w:val="0"/>
              <w:spacing w:line="400" w:lineRule="exact"/>
              <w:jc w:val="center"/>
              <w:rPr>
                <w:rFonts w:ascii="??_GB2312" w:hAnsi="仿宋" w:eastAsia="Times New Roman"/>
                <w:bCs/>
                <w:sz w:val="24"/>
              </w:rPr>
            </w:pPr>
            <w:r>
              <w:rPr>
                <w:rFonts w:ascii="??_GB2312" w:hAnsi="仿宋" w:eastAsia="Times New Roman"/>
                <w:bCs/>
                <w:sz w:val="24"/>
              </w:rPr>
              <w:t>英语</w:t>
            </w:r>
          </w:p>
        </w:tc>
        <w:tc>
          <w:tcPr>
            <w:tcW w:w="1821" w:type="dxa"/>
            <w:vMerge w:val="continue"/>
            <w:noWrap/>
            <w:vAlign w:val="center"/>
          </w:tcPr>
          <w:p>
            <w:pPr>
              <w:widowControl/>
              <w:snapToGrid w:val="0"/>
              <w:spacing w:line="400" w:lineRule="exact"/>
              <w:ind w:firstLine="480" w:firstLineChars="200"/>
              <w:jc w:val="center"/>
              <w:rPr>
                <w:rFonts w:ascii="??_GB2312" w:hAnsi="仿宋" w:eastAsia="Times New Roman"/>
                <w:bCs/>
                <w:sz w:val="24"/>
              </w:rPr>
            </w:pPr>
          </w:p>
        </w:tc>
        <w:tc>
          <w:tcPr>
            <w:tcW w:w="1559" w:type="dxa"/>
            <w:vMerge w:val="continue"/>
            <w:noWrap/>
            <w:vAlign w:val="center"/>
          </w:tcPr>
          <w:p>
            <w:pPr>
              <w:widowControl/>
              <w:snapToGrid w:val="0"/>
              <w:spacing w:line="400" w:lineRule="exact"/>
              <w:ind w:firstLine="480" w:firstLineChars="200"/>
              <w:jc w:val="center"/>
              <w:rPr>
                <w:rFonts w:ascii="??_GB2312" w:hAnsi="仿宋" w:eastAsia="Times New Roman"/>
                <w:bCs/>
                <w:sz w:val="24"/>
              </w:rPr>
            </w:pPr>
          </w:p>
        </w:tc>
      </w:tr>
      <w:tr>
        <w:trPr>
          <w:trHeight w:val="798" w:hRule="atLeast"/>
          <w:jc w:val="center"/>
        </w:trPr>
        <w:tc>
          <w:tcPr>
            <w:tcW w:w="1781" w:type="dxa"/>
            <w:noWrap/>
            <w:vAlign w:val="center"/>
          </w:tcPr>
          <w:p>
            <w:pPr>
              <w:adjustRightInd w:val="0"/>
              <w:snapToGrid w:val="0"/>
              <w:jc w:val="center"/>
              <w:rPr>
                <w:rFonts w:ascii="??_GB2312" w:hAnsi="仿宋" w:eastAsia="Times New Roman"/>
                <w:bCs/>
                <w:sz w:val="24"/>
              </w:rPr>
            </w:pPr>
            <w:r>
              <w:rPr>
                <w:rFonts w:ascii="??_GB2312" w:hAnsi="仿宋" w:eastAsia="Times New Roman"/>
                <w:bCs/>
                <w:sz w:val="24"/>
              </w:rPr>
              <w:t xml:space="preserve"> 3月</w:t>
            </w:r>
            <w:r>
              <w:rPr>
                <w:rFonts w:hint="eastAsia" w:ascii="??_GB2312" w:hAnsi="仿宋"/>
                <w:bCs/>
                <w:sz w:val="24"/>
                <w:lang w:val="en-US" w:eastAsia="zh-CN"/>
              </w:rPr>
              <w:t>31</w:t>
            </w:r>
            <w:r>
              <w:rPr>
                <w:rFonts w:ascii="??_GB2312" w:hAnsi="仿宋" w:eastAsia="Times New Roman"/>
                <w:bCs/>
                <w:sz w:val="24"/>
              </w:rPr>
              <w:t>日</w:t>
            </w:r>
          </w:p>
          <w:p>
            <w:pPr>
              <w:adjustRightInd w:val="0"/>
              <w:snapToGrid w:val="0"/>
              <w:jc w:val="center"/>
              <w:rPr>
                <w:rFonts w:ascii="??_GB2312" w:hAnsi="仿宋" w:eastAsia="Times New Roman"/>
                <w:bCs/>
                <w:sz w:val="24"/>
              </w:rPr>
            </w:pPr>
            <w:r>
              <w:rPr>
                <w:rFonts w:ascii="??_GB2312" w:hAnsi="仿宋" w:eastAsia="Times New Roman"/>
                <w:bCs/>
                <w:sz w:val="24"/>
              </w:rPr>
              <w:t>（省指定考点）</w:t>
            </w:r>
          </w:p>
        </w:tc>
        <w:tc>
          <w:tcPr>
            <w:tcW w:w="1774" w:type="dxa"/>
            <w:noWrap/>
            <w:vAlign w:val="center"/>
          </w:tcPr>
          <w:p>
            <w:pPr>
              <w:adjustRightInd w:val="0"/>
              <w:snapToGrid w:val="0"/>
              <w:jc w:val="center"/>
              <w:rPr>
                <w:rFonts w:ascii="??_GB2312" w:hAnsi="仿宋" w:eastAsia="Times New Roman"/>
                <w:bCs/>
                <w:sz w:val="24"/>
              </w:rPr>
            </w:pPr>
            <w:r>
              <w:rPr>
                <w:rFonts w:ascii="??_GB2312" w:hAnsi="仿宋" w:eastAsia="Times New Roman"/>
                <w:bCs/>
                <w:sz w:val="24"/>
              </w:rPr>
              <w:t>9:00-11:30</w:t>
            </w:r>
          </w:p>
        </w:tc>
        <w:tc>
          <w:tcPr>
            <w:tcW w:w="1713" w:type="dxa"/>
            <w:noWrap/>
            <w:vAlign w:val="center"/>
          </w:tcPr>
          <w:p>
            <w:pPr>
              <w:adjustRightInd w:val="0"/>
              <w:snapToGrid w:val="0"/>
              <w:jc w:val="center"/>
              <w:rPr>
                <w:rFonts w:ascii="??_GB2312" w:hAnsi="仿宋" w:eastAsia="Times New Roman"/>
                <w:bCs/>
                <w:sz w:val="24"/>
              </w:rPr>
            </w:pPr>
            <w:r>
              <w:rPr>
                <w:rFonts w:ascii="??_GB2312" w:hAnsi="仿宋" w:eastAsia="Times New Roman"/>
                <w:bCs/>
                <w:sz w:val="24"/>
              </w:rPr>
              <w:t>专业综合课（省统考）</w:t>
            </w:r>
          </w:p>
        </w:tc>
        <w:tc>
          <w:tcPr>
            <w:tcW w:w="1821" w:type="dxa"/>
            <w:noWrap/>
            <w:vAlign w:val="center"/>
          </w:tcPr>
          <w:p>
            <w:pPr>
              <w:adjustRightInd w:val="0"/>
              <w:snapToGrid w:val="0"/>
              <w:jc w:val="center"/>
              <w:rPr>
                <w:rFonts w:ascii="??_GB2312" w:hAnsi="仿宋" w:eastAsia="Times New Roman"/>
                <w:bCs/>
                <w:sz w:val="24"/>
              </w:rPr>
            </w:pPr>
          </w:p>
        </w:tc>
        <w:tc>
          <w:tcPr>
            <w:tcW w:w="1559" w:type="dxa"/>
            <w:noWrap/>
            <w:vAlign w:val="center"/>
          </w:tcPr>
          <w:p>
            <w:pPr>
              <w:adjustRightInd w:val="0"/>
              <w:snapToGrid w:val="0"/>
              <w:jc w:val="center"/>
              <w:rPr>
                <w:rFonts w:ascii="??_GB2312" w:hAnsi="仿宋" w:eastAsia="Times New Roman"/>
                <w:bCs/>
                <w:sz w:val="24"/>
              </w:rPr>
            </w:pPr>
          </w:p>
        </w:tc>
      </w:tr>
    </w:tbl>
    <w:p>
      <w:pPr>
        <w:adjustRightInd w:val="0"/>
        <w:spacing w:line="550" w:lineRule="exact"/>
        <w:ind w:firstLine="640" w:firstLineChars="200"/>
        <w:jc w:val="left"/>
        <w:rPr>
          <w:rFonts w:ascii="??_GB2312" w:hAnsi="仿宋" w:eastAsia="Times New Roman"/>
          <w:bCs/>
          <w:sz w:val="32"/>
          <w:szCs w:val="32"/>
        </w:rPr>
      </w:pPr>
      <w:bookmarkStart w:id="0" w:name="_GoBack"/>
      <w:bookmarkEnd w:id="0"/>
    </w:p>
    <w:p>
      <w:pPr>
        <w:adjustRightInd w:val="0"/>
        <w:snapToGrid w:val="0"/>
        <w:spacing w:line="560" w:lineRule="exact"/>
        <w:ind w:firstLine="640" w:firstLineChars="200"/>
        <w:jc w:val="left"/>
        <w:outlineLvl w:val="0"/>
        <w:rPr>
          <w:rFonts w:eastAsia="楷体_GB2312"/>
          <w:bCs/>
          <w:color w:val="auto"/>
          <w:sz w:val="32"/>
          <w:szCs w:val="32"/>
        </w:rPr>
      </w:pPr>
      <w:r>
        <w:rPr>
          <w:rFonts w:eastAsia="楷体_GB2312"/>
          <w:bCs/>
          <w:color w:val="auto"/>
          <w:sz w:val="32"/>
          <w:szCs w:val="32"/>
        </w:rPr>
        <w:t>（</w:t>
      </w:r>
      <w:r>
        <w:rPr>
          <w:rFonts w:hint="eastAsia" w:eastAsia="楷体_GB2312"/>
          <w:bCs/>
          <w:color w:val="auto"/>
          <w:sz w:val="32"/>
          <w:szCs w:val="32"/>
          <w:lang w:val="en-US" w:eastAsia="zh-CN"/>
        </w:rPr>
        <w:t>二</w:t>
      </w:r>
      <w:r>
        <w:rPr>
          <w:rFonts w:eastAsia="楷体_GB2312"/>
          <w:bCs/>
          <w:color w:val="auto"/>
          <w:sz w:val="32"/>
          <w:szCs w:val="32"/>
        </w:rPr>
        <w:t>）肇庆学院202</w:t>
      </w:r>
      <w:r>
        <w:rPr>
          <w:rFonts w:hint="eastAsia" w:eastAsia="楷体_GB2312"/>
          <w:bCs/>
          <w:color w:val="auto"/>
          <w:sz w:val="32"/>
          <w:szCs w:val="32"/>
          <w:lang w:val="en-US" w:eastAsia="zh-CN"/>
        </w:rPr>
        <w:t>4</w:t>
      </w:r>
      <w:r>
        <w:rPr>
          <w:rFonts w:eastAsia="楷体_GB2312"/>
          <w:bCs/>
          <w:color w:val="auto"/>
          <w:sz w:val="32"/>
          <w:szCs w:val="32"/>
        </w:rPr>
        <w:t>年普通专升本</w:t>
      </w:r>
      <w:r>
        <w:rPr>
          <w:rFonts w:hint="eastAsia" w:eastAsia="楷体_GB2312"/>
          <w:bCs/>
          <w:color w:val="auto"/>
          <w:sz w:val="32"/>
          <w:szCs w:val="32"/>
          <w:lang w:val="en-US" w:eastAsia="zh-CN"/>
        </w:rPr>
        <w:t>拟</w:t>
      </w:r>
      <w:r>
        <w:rPr>
          <w:rFonts w:eastAsia="楷体_GB2312"/>
          <w:bCs/>
          <w:color w:val="auto"/>
          <w:sz w:val="32"/>
          <w:szCs w:val="32"/>
        </w:rPr>
        <w:t>招生专业考试科目</w:t>
      </w:r>
    </w:p>
    <w:tbl>
      <w:tblPr>
        <w:tblStyle w:val="9"/>
        <w:tblpPr w:leftFromText="180" w:rightFromText="180" w:vertAnchor="text" w:horzAnchor="page" w:tblpXSpec="center" w:tblpY="283"/>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921"/>
        <w:gridCol w:w="1441"/>
        <w:gridCol w:w="2294"/>
        <w:gridCol w:w="2382"/>
      </w:tblGrid>
      <w:tr>
        <w:trPr>
          <w:trHeight w:val="727" w:hRule="atLeast"/>
          <w:jc w:val="center"/>
        </w:trPr>
        <w:tc>
          <w:tcPr>
            <w:tcW w:w="2921" w:type="dxa"/>
            <w:vAlign w:val="center"/>
          </w:tcPr>
          <w:p>
            <w:pPr>
              <w:adjustRightInd w:val="0"/>
              <w:snapToGrid w:val="0"/>
              <w:spacing w:line="550" w:lineRule="exact"/>
              <w:jc w:val="center"/>
              <w:rPr>
                <w:rFonts w:ascii="黑体" w:hAnsi="黑体" w:eastAsia="黑体"/>
                <w:bCs/>
                <w:sz w:val="24"/>
              </w:rPr>
            </w:pPr>
            <w:r>
              <w:rPr>
                <w:rFonts w:hint="eastAsia" w:ascii="黑体" w:hAnsi="黑体" w:eastAsia="黑体"/>
                <w:bCs/>
                <w:sz w:val="24"/>
              </w:rPr>
              <w:t>专业名称</w:t>
            </w:r>
          </w:p>
        </w:tc>
        <w:tc>
          <w:tcPr>
            <w:tcW w:w="1441" w:type="dxa"/>
            <w:vAlign w:val="center"/>
          </w:tcPr>
          <w:p>
            <w:pPr>
              <w:adjustRightInd w:val="0"/>
              <w:snapToGrid w:val="0"/>
              <w:spacing w:line="550" w:lineRule="exact"/>
              <w:jc w:val="center"/>
              <w:rPr>
                <w:rFonts w:ascii="黑体" w:hAnsi="黑体" w:eastAsia="黑体"/>
                <w:bCs/>
                <w:sz w:val="24"/>
              </w:rPr>
            </w:pPr>
            <w:r>
              <w:rPr>
                <w:rFonts w:hint="eastAsia" w:ascii="黑体" w:hAnsi="黑体" w:eastAsia="黑体"/>
                <w:bCs/>
                <w:sz w:val="24"/>
              </w:rPr>
              <w:t>公共课</w:t>
            </w:r>
          </w:p>
        </w:tc>
        <w:tc>
          <w:tcPr>
            <w:tcW w:w="2294" w:type="dxa"/>
            <w:vAlign w:val="center"/>
          </w:tcPr>
          <w:p>
            <w:pPr>
              <w:adjustRightInd w:val="0"/>
              <w:snapToGrid w:val="0"/>
              <w:spacing w:line="550" w:lineRule="exact"/>
              <w:jc w:val="center"/>
              <w:rPr>
                <w:rFonts w:ascii="黑体" w:hAnsi="黑体" w:eastAsia="黑体"/>
                <w:bCs/>
                <w:sz w:val="24"/>
              </w:rPr>
            </w:pPr>
            <w:r>
              <w:rPr>
                <w:rFonts w:hint="eastAsia" w:ascii="黑体" w:hAnsi="黑体" w:eastAsia="黑体"/>
                <w:bCs/>
                <w:sz w:val="24"/>
              </w:rPr>
              <w:t>专业基础课（省统考）</w:t>
            </w:r>
          </w:p>
        </w:tc>
        <w:tc>
          <w:tcPr>
            <w:tcW w:w="2382" w:type="dxa"/>
            <w:vAlign w:val="center"/>
          </w:tcPr>
          <w:p>
            <w:pPr>
              <w:adjustRightInd w:val="0"/>
              <w:snapToGrid w:val="0"/>
              <w:spacing w:line="550" w:lineRule="exact"/>
              <w:jc w:val="center"/>
              <w:rPr>
                <w:rFonts w:ascii="黑体" w:hAnsi="黑体" w:eastAsia="黑体"/>
                <w:bCs/>
                <w:sz w:val="24"/>
              </w:rPr>
            </w:pPr>
            <w:r>
              <w:rPr>
                <w:rFonts w:hint="eastAsia" w:ascii="黑体" w:hAnsi="黑体" w:eastAsia="黑体"/>
                <w:bCs/>
                <w:sz w:val="24"/>
              </w:rPr>
              <w:t>专业综合课（省统考）</w:t>
            </w:r>
          </w:p>
        </w:tc>
      </w:tr>
      <w:tr>
        <w:trPr>
          <w:trHeight w:val="483" w:hRule="atLeast"/>
          <w:jc w:val="center"/>
        </w:trPr>
        <w:tc>
          <w:tcPr>
            <w:tcW w:w="2921" w:type="dxa"/>
            <w:vAlign w:val="center"/>
          </w:tcPr>
          <w:p>
            <w:pPr>
              <w:adjustRightInd w:val="0"/>
              <w:snapToGrid w:val="0"/>
              <w:spacing w:line="400" w:lineRule="exact"/>
              <w:jc w:val="center"/>
              <w:rPr>
                <w:rFonts w:ascii="??_GB2312" w:hAnsi="仿宋" w:eastAsia="Times New Roman"/>
                <w:sz w:val="24"/>
              </w:rPr>
            </w:pPr>
            <w:r>
              <w:rPr>
                <w:rFonts w:ascii="??_GB2312" w:hAnsi="仿宋" w:eastAsia="Times New Roman"/>
                <w:sz w:val="24"/>
              </w:rPr>
              <w:t>学前教育(师范)</w:t>
            </w:r>
          </w:p>
        </w:tc>
        <w:tc>
          <w:tcPr>
            <w:tcW w:w="1441" w:type="dxa"/>
            <w:vMerge w:val="restart"/>
            <w:vAlign w:val="center"/>
          </w:tcPr>
          <w:p>
            <w:pPr>
              <w:adjustRightInd w:val="0"/>
              <w:snapToGrid w:val="0"/>
              <w:spacing w:line="400" w:lineRule="exact"/>
              <w:jc w:val="center"/>
              <w:rPr>
                <w:rFonts w:ascii="??_GB2312" w:hAnsi="仿宋" w:eastAsia="Times New Roman"/>
                <w:sz w:val="24"/>
              </w:rPr>
            </w:pPr>
            <w:r>
              <w:rPr>
                <w:rFonts w:ascii="??_GB2312" w:hAnsi="仿宋" w:eastAsia="Times New Roman"/>
                <w:sz w:val="24"/>
              </w:rPr>
              <w:t>1．政治理论</w:t>
            </w:r>
          </w:p>
          <w:p>
            <w:pPr>
              <w:adjustRightInd w:val="0"/>
              <w:snapToGrid w:val="0"/>
              <w:spacing w:line="400" w:lineRule="exact"/>
              <w:ind w:firstLine="240" w:firstLineChars="100"/>
              <w:jc w:val="both"/>
              <w:rPr>
                <w:rFonts w:ascii="??_GB2312" w:hAnsi="仿宋" w:eastAsia="Times New Roman"/>
                <w:sz w:val="24"/>
              </w:rPr>
            </w:pPr>
            <w:r>
              <w:rPr>
                <w:rFonts w:ascii="??_GB2312" w:hAnsi="仿宋" w:eastAsia="Times New Roman"/>
                <w:sz w:val="24"/>
              </w:rPr>
              <w:t>2．英语</w:t>
            </w:r>
          </w:p>
        </w:tc>
        <w:tc>
          <w:tcPr>
            <w:tcW w:w="2294" w:type="dxa"/>
            <w:vAlign w:val="center"/>
          </w:tcPr>
          <w:p>
            <w:pPr>
              <w:adjustRightInd w:val="0"/>
              <w:snapToGrid w:val="0"/>
              <w:spacing w:line="400" w:lineRule="exact"/>
              <w:jc w:val="center"/>
              <w:rPr>
                <w:rFonts w:ascii="??_GB2312" w:hAnsi="仿宋" w:eastAsia="Times New Roman"/>
                <w:sz w:val="24"/>
              </w:rPr>
            </w:pPr>
            <w:r>
              <w:rPr>
                <w:rFonts w:ascii="??_GB2312" w:hAnsi="仿宋" w:eastAsia="Times New Roman"/>
                <w:sz w:val="24"/>
              </w:rPr>
              <w:t>教育理论</w:t>
            </w:r>
          </w:p>
        </w:tc>
        <w:tc>
          <w:tcPr>
            <w:tcW w:w="2382" w:type="dxa"/>
            <w:vAlign w:val="center"/>
          </w:tcPr>
          <w:p>
            <w:pPr>
              <w:adjustRightInd w:val="0"/>
              <w:snapToGrid w:val="0"/>
              <w:spacing w:line="400" w:lineRule="exact"/>
              <w:jc w:val="center"/>
              <w:rPr>
                <w:rFonts w:ascii="??_GB2312" w:hAnsi="仿宋" w:eastAsia="Times New Roman"/>
                <w:sz w:val="24"/>
              </w:rPr>
            </w:pPr>
            <w:r>
              <w:rPr>
                <w:rFonts w:ascii="??_GB2312" w:hAnsi="仿宋" w:eastAsia="Times New Roman"/>
                <w:sz w:val="24"/>
              </w:rPr>
              <w:t>学前教育基础</w:t>
            </w:r>
          </w:p>
        </w:tc>
      </w:tr>
      <w:tr>
        <w:trPr>
          <w:trHeight w:val="483" w:hRule="atLeast"/>
          <w:jc w:val="center"/>
        </w:trPr>
        <w:tc>
          <w:tcPr>
            <w:tcW w:w="2921" w:type="dxa"/>
            <w:vAlign w:val="center"/>
          </w:tcPr>
          <w:p>
            <w:pPr>
              <w:adjustRightInd w:val="0"/>
              <w:snapToGrid w:val="0"/>
              <w:spacing w:line="400" w:lineRule="exact"/>
              <w:jc w:val="center"/>
              <w:rPr>
                <w:rFonts w:hint="default" w:ascii="??_GB2312" w:hAnsi="仿宋" w:eastAsia="宋体"/>
                <w:sz w:val="24"/>
                <w:lang w:val="en-US" w:eastAsia="zh-CN"/>
              </w:rPr>
            </w:pPr>
            <w:r>
              <w:rPr>
                <w:rFonts w:hint="eastAsia" w:ascii="??_GB2312" w:hAnsi="仿宋"/>
                <w:sz w:val="24"/>
                <w:lang w:val="en-US" w:eastAsia="zh-CN"/>
              </w:rPr>
              <w:t>汉语言文学（师范）</w:t>
            </w:r>
          </w:p>
        </w:tc>
        <w:tc>
          <w:tcPr>
            <w:tcW w:w="1441" w:type="dxa"/>
            <w:vMerge w:val="continue"/>
            <w:vAlign w:val="center"/>
          </w:tcPr>
          <w:p>
            <w:pPr>
              <w:adjustRightInd w:val="0"/>
              <w:snapToGrid w:val="0"/>
              <w:spacing w:line="400" w:lineRule="exact"/>
              <w:jc w:val="center"/>
              <w:rPr>
                <w:rFonts w:ascii="??_GB2312" w:hAnsi="仿宋" w:eastAsia="Times New Roman"/>
                <w:sz w:val="24"/>
              </w:rPr>
            </w:pPr>
          </w:p>
        </w:tc>
        <w:tc>
          <w:tcPr>
            <w:tcW w:w="2294" w:type="dxa"/>
            <w:vAlign w:val="center"/>
          </w:tcPr>
          <w:p>
            <w:pPr>
              <w:adjustRightInd w:val="0"/>
              <w:snapToGrid w:val="0"/>
              <w:spacing w:line="400" w:lineRule="exact"/>
              <w:jc w:val="center"/>
              <w:rPr>
                <w:rFonts w:hint="default" w:ascii="??_GB2312" w:hAnsi="仿宋" w:eastAsia="宋体"/>
                <w:sz w:val="24"/>
                <w:lang w:val="en-US" w:eastAsia="zh-CN"/>
              </w:rPr>
            </w:pPr>
            <w:r>
              <w:rPr>
                <w:rFonts w:hint="eastAsia" w:ascii="??_GB2312" w:hAnsi="仿宋"/>
                <w:sz w:val="24"/>
                <w:lang w:val="en-US" w:eastAsia="zh-CN"/>
              </w:rPr>
              <w:t>大学语文</w:t>
            </w:r>
          </w:p>
        </w:tc>
        <w:tc>
          <w:tcPr>
            <w:tcW w:w="2382" w:type="dxa"/>
            <w:vAlign w:val="center"/>
          </w:tcPr>
          <w:p>
            <w:pPr>
              <w:adjustRightInd w:val="0"/>
              <w:snapToGrid w:val="0"/>
              <w:spacing w:line="400" w:lineRule="exact"/>
              <w:jc w:val="center"/>
              <w:rPr>
                <w:rFonts w:hint="default" w:ascii="??_GB2312" w:hAnsi="仿宋" w:eastAsia="宋体"/>
                <w:sz w:val="24"/>
                <w:lang w:val="en-US" w:eastAsia="zh-CN"/>
              </w:rPr>
            </w:pPr>
            <w:r>
              <w:rPr>
                <w:rFonts w:hint="eastAsia" w:ascii="??_GB2312" w:hAnsi="仿宋"/>
                <w:sz w:val="24"/>
                <w:lang w:val="en-US" w:eastAsia="zh-CN"/>
              </w:rPr>
              <w:t>汉语言文学学科基础</w:t>
            </w:r>
          </w:p>
        </w:tc>
      </w:tr>
    </w:tbl>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省统考科目的考试要求和考试范围由省教育考试院根据教育部专科升本科同一层次的要求编写确定，并于报名前向社会公布。</w:t>
      </w:r>
    </w:p>
    <w:p>
      <w:pPr>
        <w:pStyle w:val="4"/>
        <w:spacing w:line="550" w:lineRule="exact"/>
        <w:ind w:firstLine="31680"/>
        <w:outlineLvl w:val="0"/>
        <w:rPr>
          <w:rFonts w:ascii="黑体" w:hAnsi="黑体" w:eastAsia="黑体"/>
          <w:sz w:val="32"/>
          <w:szCs w:val="32"/>
        </w:rPr>
      </w:pPr>
      <w:r>
        <w:rPr>
          <w:rFonts w:hint="eastAsia" w:ascii="黑体" w:hAnsi="黑体" w:eastAsia="黑体"/>
          <w:sz w:val="32"/>
          <w:szCs w:val="32"/>
        </w:rPr>
        <w:t>六、志愿填报</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（一）实行考后知分填报志愿，普通批设置10个院校专业组志愿，建档立卡批次设置5个院校专业组志愿。每个院校专业组最多可填报4个专业志愿及1个是否服从调剂选项。</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（二）考生按自身报考的考试科目组选择相应院校专业组志愿及专业志愿进行填报，可同时填报普通批和建档立卡批次中符合条件的院校专业组。</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（三）志愿填报具体安排和要求在考试成绩公布后另文通知。</w:t>
      </w:r>
    </w:p>
    <w:p>
      <w:pPr>
        <w:pStyle w:val="4"/>
        <w:spacing w:line="550" w:lineRule="exact"/>
        <w:ind w:firstLine="31680"/>
        <w:outlineLvl w:val="0"/>
        <w:rPr>
          <w:rFonts w:ascii="黑体" w:hAnsi="黑体" w:eastAsia="黑体"/>
          <w:sz w:val="32"/>
          <w:szCs w:val="32"/>
        </w:rPr>
      </w:pPr>
      <w:r>
        <w:rPr>
          <w:rFonts w:hint="eastAsia" w:ascii="黑体" w:hAnsi="黑体" w:eastAsia="黑体"/>
          <w:sz w:val="32"/>
          <w:szCs w:val="32"/>
        </w:rPr>
        <w:t>七、录取</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（一）由广东省招生委员会根据普通专升本招生计划和考生成绩情况，按照考生类别（建档立卡考生、普通考生），</w:t>
      </w:r>
      <w:r>
        <w:rPr>
          <w:rFonts w:hint="eastAsia" w:eastAsia="仿宋_GB2312"/>
          <w:color w:val="auto"/>
          <w:sz w:val="32"/>
          <w:szCs w:val="32"/>
        </w:rPr>
        <w:t>专业基础课分别划定三科总分（</w:t>
      </w:r>
      <w:r>
        <w:rPr>
          <w:rFonts w:eastAsia="仿宋_GB2312"/>
          <w:color w:val="auto"/>
          <w:sz w:val="32"/>
          <w:szCs w:val="32"/>
        </w:rPr>
        <w:t>2</w:t>
      </w:r>
      <w:r>
        <w:rPr>
          <w:rFonts w:hint="eastAsia" w:eastAsia="仿宋_GB2312"/>
          <w:color w:val="auto"/>
          <w:sz w:val="32"/>
          <w:szCs w:val="32"/>
        </w:rPr>
        <w:t>门公共课</w:t>
      </w:r>
      <w:r>
        <w:rPr>
          <w:rFonts w:eastAsia="仿宋_GB2312"/>
          <w:color w:val="auto"/>
          <w:sz w:val="32"/>
          <w:szCs w:val="32"/>
        </w:rPr>
        <w:t>+1</w:t>
      </w:r>
      <w:r>
        <w:rPr>
          <w:rFonts w:hint="eastAsia" w:eastAsia="仿宋_GB2312"/>
          <w:color w:val="auto"/>
          <w:sz w:val="32"/>
          <w:szCs w:val="32"/>
        </w:rPr>
        <w:t>门专业基础课）</w:t>
      </w:r>
      <w:r>
        <w:rPr>
          <w:rFonts w:eastAsia="仿宋_GB2312"/>
          <w:color w:val="auto"/>
          <w:sz w:val="32"/>
          <w:szCs w:val="32"/>
        </w:rPr>
        <w:t>和专业综合课两条最低控制分数线，考生必须同时上线才能投档。广东省招办依据四科总分实行院校专业组平行志愿投档。</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二）省招办投档后，我校按“分数优先，遵循志愿”的原则，排位靠前的考生优先检索，再按考生填报的院校专业组志愿逐个检索，直至额满为止。同分点的处理办法：当4科总分（含加分）相同时，依次按照4科总分（不含加分）、专业综合课成绩、专业基础课成绩、政治理论成绩和英语成绩从高到低排序录取。</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w:t>
      </w:r>
      <w:r>
        <w:rPr>
          <w:rFonts w:hint="eastAsia" w:eastAsia="仿宋_GB2312"/>
          <w:color w:val="auto"/>
          <w:sz w:val="32"/>
          <w:szCs w:val="32"/>
          <w:lang w:val="en-US" w:eastAsia="zh-CN"/>
        </w:rPr>
        <w:t>三</w:t>
      </w:r>
      <w:r>
        <w:rPr>
          <w:rFonts w:eastAsia="仿宋_GB2312"/>
          <w:color w:val="auto"/>
          <w:sz w:val="32"/>
          <w:szCs w:val="32"/>
        </w:rPr>
        <w:t>）根据《教育部办公厅关于做好有关高校保送录取世界技能大赛获奖选手工作的通知》（教学厅〔2020〕3号）精神，符合上述相应报考条件的高职应届毕业生，在世界技能组织主办的“世界技能大赛（World Skills Competition）”中获奖的中国国家代表队选手可以保送录取本科层次职业学校和应用型普通本科高校。考生向相关院校提交相关资料申请保送生资格，经院校审核同意后，由院校按规定进行公示，并向省招生办进行备案办理录取手续。</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w:t>
      </w:r>
      <w:r>
        <w:rPr>
          <w:rFonts w:hint="eastAsia" w:eastAsia="仿宋_GB2312"/>
          <w:color w:val="auto"/>
          <w:sz w:val="32"/>
          <w:szCs w:val="32"/>
          <w:lang w:val="en-US" w:eastAsia="zh-CN"/>
        </w:rPr>
        <w:t>四</w:t>
      </w:r>
      <w:r>
        <w:rPr>
          <w:rFonts w:eastAsia="仿宋_GB2312"/>
          <w:color w:val="auto"/>
          <w:sz w:val="32"/>
          <w:szCs w:val="32"/>
        </w:rPr>
        <w:t>）按照教育部相关文件精神，我省将对建档立卡贫困家庭考生按一定比例安排建档立卡考生招生计划，实行计划单列，单独录取。</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w:t>
      </w:r>
      <w:r>
        <w:rPr>
          <w:rFonts w:hint="eastAsia" w:eastAsia="仿宋_GB2312"/>
          <w:color w:val="auto"/>
          <w:sz w:val="32"/>
          <w:szCs w:val="32"/>
          <w:lang w:val="en-US" w:eastAsia="zh-CN"/>
        </w:rPr>
        <w:t>五</w:t>
      </w:r>
      <w:r>
        <w:rPr>
          <w:rFonts w:eastAsia="仿宋_GB2312"/>
          <w:color w:val="auto"/>
          <w:sz w:val="32"/>
          <w:szCs w:val="32"/>
        </w:rPr>
        <w:t>）在正式投档录取结束后，若因上线生源不足、考生不服从专业调剂等原因未完成招生计划的，我校可视情况进行征集志愿录取。录取原则参照本简章第七点（二）条执行。</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w:t>
      </w:r>
      <w:r>
        <w:rPr>
          <w:rFonts w:hint="eastAsia" w:eastAsia="仿宋_GB2312"/>
          <w:color w:val="auto"/>
          <w:sz w:val="32"/>
          <w:szCs w:val="32"/>
          <w:lang w:val="en-US" w:eastAsia="zh-CN"/>
        </w:rPr>
        <w:t>六</w:t>
      </w:r>
      <w:r>
        <w:rPr>
          <w:rFonts w:eastAsia="仿宋_GB2312"/>
          <w:color w:val="auto"/>
          <w:sz w:val="32"/>
          <w:szCs w:val="32"/>
        </w:rPr>
        <w:t>）考生凡持假证明、假文凭等虚假材料报名及冒名顶替考试的，取消考试资格；已被录取的，取消录取资格；已取得学籍的，取消学籍；并追究其法律责任。</w:t>
      </w:r>
    </w:p>
    <w:p>
      <w:pPr>
        <w:pStyle w:val="4"/>
        <w:spacing w:line="550" w:lineRule="exact"/>
        <w:ind w:firstLine="31680"/>
        <w:outlineLvl w:val="0"/>
        <w:rPr>
          <w:rFonts w:ascii="黑体" w:hAnsi="黑体" w:eastAsia="黑体"/>
          <w:sz w:val="32"/>
          <w:szCs w:val="32"/>
        </w:rPr>
      </w:pPr>
      <w:r>
        <w:rPr>
          <w:rFonts w:hint="eastAsia" w:ascii="黑体" w:hAnsi="黑体" w:eastAsia="黑体"/>
          <w:sz w:val="32"/>
          <w:szCs w:val="32"/>
        </w:rPr>
        <w:t>八、入学收费标准</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被录取考生入学收费标准按省物价局的规定执行。</w:t>
      </w:r>
    </w:p>
    <w:p>
      <w:pPr>
        <w:pStyle w:val="4"/>
        <w:spacing w:line="550" w:lineRule="exact"/>
        <w:ind w:firstLine="31680"/>
        <w:outlineLvl w:val="0"/>
        <w:rPr>
          <w:rFonts w:ascii="黑体" w:hAnsi="黑体" w:eastAsia="黑体"/>
          <w:sz w:val="32"/>
          <w:szCs w:val="32"/>
        </w:rPr>
      </w:pPr>
      <w:r>
        <w:rPr>
          <w:rFonts w:hint="eastAsia" w:ascii="黑体" w:hAnsi="黑体" w:eastAsia="黑体"/>
          <w:sz w:val="32"/>
          <w:szCs w:val="32"/>
        </w:rPr>
        <w:t>九、在校学习期间的管理</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普通专升本学生为国家任务生，秋季入学，全日制脱产学习，由招生学校进行思想政治、专科学历、健康情况复查，经复查未通过的，取消其入学资格；复查合格并经注册后，即成为学校的正式学生，</w:t>
      </w:r>
      <w:r>
        <w:rPr>
          <w:rFonts w:hint="eastAsia" w:eastAsia="仿宋_GB2312"/>
          <w:color w:val="auto"/>
          <w:sz w:val="32"/>
          <w:szCs w:val="32"/>
          <w:lang w:val="en-US" w:eastAsia="zh-CN"/>
        </w:rPr>
        <w:t>转</w:t>
      </w:r>
      <w:r>
        <w:rPr>
          <w:rFonts w:eastAsia="仿宋_GB2312"/>
          <w:color w:val="auto"/>
          <w:sz w:val="32"/>
          <w:szCs w:val="32"/>
        </w:rPr>
        <w:t>入本科专业三年级学习，并按插入年级的管理办法进行管理，在校期间不可办理转专业。</w:t>
      </w:r>
    </w:p>
    <w:p>
      <w:pPr>
        <w:pStyle w:val="4"/>
        <w:spacing w:line="550" w:lineRule="exact"/>
        <w:ind w:firstLine="31680"/>
        <w:outlineLvl w:val="0"/>
        <w:rPr>
          <w:rFonts w:ascii="黑体" w:hAnsi="黑体" w:eastAsia="黑体"/>
          <w:sz w:val="32"/>
          <w:szCs w:val="32"/>
        </w:rPr>
      </w:pPr>
      <w:r>
        <w:rPr>
          <w:rFonts w:hint="eastAsia" w:ascii="黑体" w:hAnsi="黑体" w:eastAsia="黑体"/>
          <w:sz w:val="32"/>
          <w:szCs w:val="32"/>
        </w:rPr>
        <w:t>十、毕业与就业</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普通专升本学生修完本科教学计划规定的课程，德、智、体考核合格，准予本科毕业，发给本科毕业证书。毕业证书上标注“在本校 XX 专业专科起点本科学习”。</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符合《中华人民共和国学位条例》规定者，授予相应的学士学位。普通专升本学生毕业后的就业办法，与普通高校本科毕业生相同。</w:t>
      </w:r>
    </w:p>
    <w:p>
      <w:pPr>
        <w:pStyle w:val="4"/>
        <w:spacing w:line="550" w:lineRule="exact"/>
        <w:ind w:firstLine="31680"/>
        <w:outlineLvl w:val="0"/>
        <w:rPr>
          <w:rFonts w:ascii="黑体" w:hAnsi="黑体" w:eastAsia="黑体"/>
          <w:sz w:val="32"/>
          <w:szCs w:val="32"/>
        </w:rPr>
      </w:pPr>
      <w:r>
        <w:rPr>
          <w:rFonts w:hint="eastAsia" w:ascii="黑体" w:hAnsi="黑体" w:eastAsia="黑体"/>
          <w:sz w:val="32"/>
          <w:szCs w:val="32"/>
        </w:rPr>
        <w:t>十一、咨询方式</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咨询电话：0758-2716043</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邮箱地址：zqxyzsb@zqu.edu.cn</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招生网址：http://zsb.zqu.edu.cn</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QQ在线：168286964　</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监督申诉电话：0758-2716246</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学校地址：（校本部）肇庆市端州区肇庆大道；</w:t>
      </w:r>
    </w:p>
    <w:p>
      <w:pPr>
        <w:tabs>
          <w:tab w:val="left" w:pos="65"/>
          <w:tab w:val="left" w:pos="715"/>
          <w:tab w:val="left" w:pos="900"/>
        </w:tabs>
        <w:adjustRightInd w:val="0"/>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 xml:space="preserve">         （星湖校区）肇庆市端州区星湖大道。</w:t>
      </w:r>
    </w:p>
    <w:p>
      <w:pPr>
        <w:spacing w:line="560" w:lineRule="exact"/>
        <w:ind w:firstLine="640" w:firstLineChars="200"/>
        <w:rPr>
          <w:rFonts w:ascii="??_GB2312" w:hAnsi="宋体" w:eastAsia="Times New Roman" w:cs="宋体"/>
          <w:sz w:val="32"/>
          <w:szCs w:val="32"/>
        </w:rPr>
      </w:pPr>
    </w:p>
    <w:p>
      <w:pPr>
        <w:ind w:firstLine="420" w:firstLineChars="200"/>
      </w:pPr>
      <w:r>
        <w:pict>
          <v:shape id="_x0000_i1025" o:spt="75" alt="肇庆学院官微二维码" type="#_x0000_t75" style="height:148.75pt;width:162pt;" filled="f" o:preferrelative="t" stroked="f" coordsize="21600,21600">
            <v:path/>
            <v:fill on="f" focussize="0,0"/>
            <v:stroke on="f"/>
            <v:imagedata r:id="rId5" o:title=""/>
            <o:lock v:ext="edit" aspectratio="t"/>
            <w10:wrap type="none"/>
            <w10:anchorlock/>
          </v:shape>
        </w:pict>
      </w:r>
      <w:r>
        <w:rPr>
          <w:rFonts w:hint="eastAsia"/>
          <w:lang w:val="en-US" w:eastAsia="zh-CN"/>
        </w:rPr>
        <w:t xml:space="preserve">      </w:t>
      </w:r>
      <w:r>
        <w:pict>
          <v:shape id="_x0000_i1026" o:spt="75" alt="肇庆学院招生办微信公众号01" type="#_x0000_t75" style="height:149.7pt;width:166.5pt;" filled="f" o:preferrelative="t" stroked="f" coordsize="21600,21600">
            <v:path/>
            <v:fill on="f" focussize="0,0"/>
            <v:stroke on="f"/>
            <v:imagedata r:id="rId6" o:title=""/>
            <o:lock v:ext="edit" aspectratio="t"/>
            <w10:wrap type="none"/>
            <w10:anchorlock/>
          </v:shape>
        </w:pict>
      </w:r>
    </w:p>
    <w:p>
      <w:pPr>
        <w:widowControl/>
        <w:snapToGrid w:val="0"/>
        <w:ind w:firstLine="640" w:firstLineChars="200"/>
        <w:rPr>
          <w:rFonts w:eastAsia="仿宋_GB2312"/>
          <w:color w:val="auto"/>
          <w:sz w:val="32"/>
          <w:szCs w:val="32"/>
        </w:rPr>
      </w:pPr>
      <w:r>
        <w:rPr>
          <w:rFonts w:eastAsia="仿宋_GB2312"/>
          <w:color w:val="auto"/>
          <w:sz w:val="32"/>
          <w:szCs w:val="32"/>
        </w:rPr>
        <w:t xml:space="preserve">肇庆学院微信公众号  </w:t>
      </w:r>
      <w:r>
        <w:rPr>
          <w:rFonts w:ascii="??_GB2312" w:hAnsi="仿宋" w:eastAsia="Times New Roman" w:cs="仿宋"/>
          <w:sz w:val="32"/>
          <w:szCs w:val="32"/>
        </w:rPr>
        <w:t xml:space="preserve">      </w:t>
      </w:r>
      <w:r>
        <w:rPr>
          <w:rFonts w:eastAsia="仿宋_GB2312"/>
          <w:color w:val="auto"/>
          <w:sz w:val="32"/>
          <w:szCs w:val="32"/>
        </w:rPr>
        <w:t>招办微信公众号</w:t>
      </w:r>
    </w:p>
    <w:p>
      <w:pPr>
        <w:widowControl/>
        <w:snapToGrid w:val="0"/>
        <w:spacing w:line="560" w:lineRule="exact"/>
        <w:ind w:firstLine="640" w:firstLineChars="200"/>
        <w:rPr>
          <w:rFonts w:ascii="??_GB2312" w:hAnsi="仿宋" w:eastAsia="Times New Roman" w:cs="仿宋"/>
          <w:sz w:val="32"/>
          <w:szCs w:val="32"/>
        </w:rPr>
      </w:pPr>
    </w:p>
    <w:p>
      <w:pPr>
        <w:widowControl/>
        <w:snapToGrid w:val="0"/>
        <w:ind w:firstLine="640" w:firstLineChars="200"/>
        <w:rPr>
          <w:rFonts w:eastAsia="仿宋_GB2312"/>
          <w:color w:val="auto"/>
          <w:sz w:val="32"/>
          <w:szCs w:val="32"/>
        </w:rPr>
      </w:pPr>
      <w:r>
        <w:rPr>
          <w:rFonts w:eastAsia="仿宋_GB2312"/>
          <w:color w:val="auto"/>
          <w:sz w:val="32"/>
          <w:szCs w:val="32"/>
        </w:rPr>
        <w:t>附件：</w:t>
      </w:r>
    </w:p>
    <w:p>
      <w:pPr>
        <w:widowControl/>
        <w:snapToGrid w:val="0"/>
        <w:ind w:firstLine="640" w:firstLineChars="200"/>
        <w:rPr>
          <w:rFonts w:eastAsia="仿宋_GB2312"/>
          <w:color w:val="auto"/>
          <w:sz w:val="32"/>
          <w:szCs w:val="32"/>
        </w:rPr>
      </w:pPr>
      <w:r>
        <w:rPr>
          <w:rFonts w:eastAsia="仿宋_GB2312"/>
          <w:color w:val="auto"/>
          <w:sz w:val="32"/>
          <w:szCs w:val="32"/>
        </w:rPr>
        <w:t>1. 广东省202</w:t>
      </w:r>
      <w:r>
        <w:rPr>
          <w:rFonts w:hint="eastAsia" w:eastAsia="仿宋_GB2312"/>
          <w:color w:val="auto"/>
          <w:sz w:val="32"/>
          <w:szCs w:val="32"/>
          <w:lang w:val="en-US" w:eastAsia="zh-CN"/>
        </w:rPr>
        <w:t>4</w:t>
      </w:r>
      <w:r>
        <w:rPr>
          <w:rFonts w:eastAsia="仿宋_GB2312"/>
          <w:color w:val="auto"/>
          <w:sz w:val="32"/>
          <w:szCs w:val="32"/>
        </w:rPr>
        <w:t>年普通高等学校专升本(含三二分段专升本转段)招生统一考试考生诚信考试承诺书</w:t>
      </w:r>
    </w:p>
    <w:p>
      <w:pPr>
        <w:widowControl/>
        <w:snapToGrid w:val="0"/>
        <w:ind w:firstLine="640" w:firstLineChars="200"/>
        <w:rPr>
          <w:rFonts w:eastAsia="仿宋_GB2312"/>
          <w:color w:val="auto"/>
          <w:sz w:val="32"/>
          <w:szCs w:val="32"/>
        </w:rPr>
      </w:pPr>
      <w:r>
        <w:rPr>
          <w:rFonts w:eastAsia="仿宋_GB2312"/>
          <w:color w:val="auto"/>
          <w:sz w:val="32"/>
          <w:szCs w:val="32"/>
        </w:rPr>
        <w:t>2. 广东省202</w:t>
      </w:r>
      <w:r>
        <w:rPr>
          <w:rFonts w:hint="eastAsia" w:eastAsia="仿宋_GB2312"/>
          <w:color w:val="auto"/>
          <w:sz w:val="32"/>
          <w:szCs w:val="32"/>
          <w:lang w:val="en-US" w:eastAsia="zh-CN"/>
        </w:rPr>
        <w:t>4</w:t>
      </w:r>
      <w:r>
        <w:rPr>
          <w:rFonts w:eastAsia="仿宋_GB2312"/>
          <w:color w:val="auto"/>
          <w:sz w:val="32"/>
          <w:szCs w:val="32"/>
        </w:rPr>
        <w:t>年普通高等学校专升本补报资料承诺书</w:t>
      </w:r>
    </w:p>
    <w:p>
      <w:pPr>
        <w:widowControl/>
        <w:snapToGrid w:val="0"/>
        <w:ind w:firstLine="640" w:firstLineChars="200"/>
        <w:rPr>
          <w:rFonts w:eastAsia="仿宋_GB2312"/>
          <w:color w:val="auto"/>
          <w:sz w:val="32"/>
          <w:szCs w:val="32"/>
        </w:rPr>
      </w:pPr>
      <w:r>
        <w:rPr>
          <w:rFonts w:eastAsia="仿宋_GB2312"/>
          <w:color w:val="auto"/>
          <w:sz w:val="32"/>
          <w:szCs w:val="32"/>
        </w:rPr>
        <w:t>3.广东省202</w:t>
      </w:r>
      <w:r>
        <w:rPr>
          <w:rFonts w:hint="eastAsia" w:eastAsia="仿宋_GB2312"/>
          <w:color w:val="auto"/>
          <w:sz w:val="32"/>
          <w:szCs w:val="32"/>
          <w:lang w:val="en-US" w:eastAsia="zh-CN"/>
        </w:rPr>
        <w:t>4</w:t>
      </w:r>
      <w:r>
        <w:rPr>
          <w:rFonts w:eastAsia="仿宋_GB2312"/>
          <w:color w:val="auto"/>
          <w:sz w:val="32"/>
          <w:szCs w:val="32"/>
        </w:rPr>
        <w:t>年普通高校专升本考生专科毕业学历验证方式</w:t>
      </w:r>
    </w:p>
    <w:p>
      <w:pPr>
        <w:widowControl/>
        <w:snapToGrid w:val="0"/>
        <w:ind w:firstLine="640" w:firstLineChars="200"/>
        <w:rPr>
          <w:rFonts w:eastAsia="仿宋_GB2312"/>
          <w:color w:val="auto"/>
          <w:sz w:val="32"/>
          <w:szCs w:val="32"/>
        </w:rPr>
      </w:pPr>
      <w:r>
        <w:rPr>
          <w:rFonts w:eastAsia="仿宋_GB2312"/>
          <w:color w:val="auto"/>
          <w:sz w:val="32"/>
          <w:szCs w:val="32"/>
        </w:rPr>
        <w:t>4.广东省202</w:t>
      </w:r>
      <w:r>
        <w:rPr>
          <w:rFonts w:hint="eastAsia" w:eastAsia="仿宋_GB2312"/>
          <w:color w:val="auto"/>
          <w:sz w:val="32"/>
          <w:szCs w:val="32"/>
          <w:lang w:val="en-US" w:eastAsia="zh-CN"/>
        </w:rPr>
        <w:t>4</w:t>
      </w:r>
      <w:r>
        <w:rPr>
          <w:rFonts w:eastAsia="仿宋_GB2312"/>
          <w:color w:val="auto"/>
          <w:sz w:val="32"/>
          <w:szCs w:val="32"/>
        </w:rPr>
        <w:t>年普通高校专升本招生体格检查表</w:t>
      </w:r>
    </w:p>
    <w:p>
      <w:pPr>
        <w:snapToGrid w:val="0"/>
        <w:spacing w:line="540" w:lineRule="exact"/>
        <w:ind w:firstLine="640" w:firstLineChars="200"/>
        <w:rPr>
          <w:rFonts w:ascii="??_GB2312" w:hAnsi="仿宋" w:eastAsia="Times New Roman"/>
          <w:bCs/>
          <w:sz w:val="32"/>
          <w:szCs w:val="32"/>
        </w:rPr>
      </w:pPr>
    </w:p>
    <w:p>
      <w:pPr>
        <w:spacing w:line="520" w:lineRule="exact"/>
        <w:ind w:firstLine="480" w:firstLineChars="200"/>
        <w:rPr>
          <w:rFonts w:ascii="宋体" w:cs="宋体"/>
          <w:sz w:val="24"/>
        </w:rPr>
      </w:pPr>
    </w:p>
    <w:p>
      <w:pPr>
        <w:widowControl/>
        <w:snapToGrid w:val="0"/>
        <w:ind w:firstLine="6400" w:firstLineChars="2000"/>
        <w:rPr>
          <w:rFonts w:eastAsia="仿宋_GB2312"/>
          <w:color w:val="auto"/>
          <w:sz w:val="32"/>
          <w:szCs w:val="32"/>
        </w:rPr>
      </w:pPr>
      <w:r>
        <w:rPr>
          <w:rFonts w:eastAsia="仿宋_GB2312"/>
          <w:color w:val="auto"/>
          <w:sz w:val="32"/>
          <w:szCs w:val="32"/>
        </w:rPr>
        <w:t>招生办公室</w:t>
      </w:r>
    </w:p>
    <w:p>
      <w:pPr>
        <w:widowControl/>
        <w:snapToGrid w:val="0"/>
        <w:ind w:firstLine="640" w:firstLineChars="200"/>
        <w:rPr>
          <w:rFonts w:eastAsia="仿宋_GB2312"/>
          <w:color w:val="auto"/>
          <w:sz w:val="32"/>
          <w:szCs w:val="32"/>
        </w:rPr>
      </w:pPr>
      <w:r>
        <w:rPr>
          <w:rFonts w:eastAsia="仿宋_GB2312"/>
          <w:color w:val="auto"/>
          <w:sz w:val="32"/>
          <w:szCs w:val="32"/>
        </w:rPr>
        <w:t xml:space="preserve">                                 202</w:t>
      </w:r>
      <w:r>
        <w:rPr>
          <w:rFonts w:hint="eastAsia" w:eastAsia="仿宋_GB2312"/>
          <w:color w:val="auto"/>
          <w:sz w:val="32"/>
          <w:szCs w:val="32"/>
          <w:lang w:val="en-US" w:eastAsia="zh-CN"/>
        </w:rPr>
        <w:t>3</w:t>
      </w:r>
      <w:r>
        <w:rPr>
          <w:rFonts w:eastAsia="仿宋_GB2312"/>
          <w:color w:val="auto"/>
          <w:sz w:val="32"/>
          <w:szCs w:val="32"/>
        </w:rPr>
        <w:t>年12月</w:t>
      </w:r>
      <w:r>
        <w:rPr>
          <w:rFonts w:hint="eastAsia" w:eastAsia="仿宋_GB2312"/>
          <w:color w:val="auto"/>
          <w:sz w:val="32"/>
          <w:szCs w:val="32"/>
          <w:lang w:val="en-US" w:eastAsia="zh-CN"/>
        </w:rPr>
        <w:t>15</w:t>
      </w:r>
      <w:r>
        <w:rPr>
          <w:rFonts w:eastAsia="仿宋_GB2312"/>
          <w:color w:val="auto"/>
          <w:sz w:val="32"/>
          <w:szCs w:val="32"/>
        </w:rPr>
        <w:t>日</w:t>
      </w:r>
    </w:p>
    <w:p>
      <w:pPr>
        <w:widowControl/>
        <w:snapToGrid w:val="0"/>
        <w:ind w:firstLine="640" w:firstLineChars="200"/>
        <w:rPr>
          <w:rFonts w:eastAsia="仿宋_GB2312"/>
          <w:color w:val="auto"/>
          <w:sz w:val="32"/>
          <w:szCs w:val="32"/>
        </w:rPr>
        <w:sectPr>
          <w:footerReference r:id="rId3" w:type="default"/>
          <w:pgSz w:w="11906" w:h="16838"/>
          <w:pgMar w:top="1417" w:right="1417" w:bottom="1417" w:left="1417" w:header="851" w:footer="992" w:gutter="0"/>
          <w:cols w:space="425" w:num="1"/>
          <w:docGrid w:type="lines" w:linePitch="312" w:charSpace="0"/>
        </w:sectPr>
      </w:pPr>
    </w:p>
    <w:p>
      <w:pPr>
        <w:spacing w:line="560" w:lineRule="exact"/>
        <w:rPr>
          <w:rFonts w:ascii="黑体" w:hAnsi="黑体" w:eastAsia="黑体"/>
          <w:sz w:val="32"/>
          <w:szCs w:val="32"/>
        </w:rPr>
      </w:pPr>
      <w:r>
        <w:rPr>
          <w:rFonts w:ascii="??_GB2312" w:hAnsi="仿宋" w:eastAsia="Times New Roman" w:cs="仿宋"/>
          <w:sz w:val="32"/>
          <w:szCs w:val="32"/>
        </w:rPr>
        <w:t>附件1</w:t>
      </w:r>
    </w:p>
    <w:p>
      <w:pPr>
        <w:snapToGrid w:val="0"/>
        <w:spacing w:line="460" w:lineRule="exact"/>
        <w:ind w:firstLine="880" w:firstLineChars="200"/>
        <w:jc w:val="center"/>
        <w:rPr>
          <w:rFonts w:ascii="方正小标宋简体" w:eastAsia="方正小标宋简体"/>
          <w:sz w:val="44"/>
          <w:szCs w:val="44"/>
        </w:rPr>
      </w:pPr>
      <w:r>
        <w:rPr>
          <w:rFonts w:ascii="方正小标宋简体" w:eastAsia="方正小标宋简体"/>
          <w:sz w:val="44"/>
          <w:szCs w:val="44"/>
        </w:rPr>
        <w:t> </w:t>
      </w:r>
      <w:r>
        <w:rPr>
          <w:rFonts w:hint="eastAsia" w:ascii="方正小标宋简体" w:eastAsia="方正小标宋简体"/>
          <w:sz w:val="44"/>
          <w:szCs w:val="44"/>
        </w:rPr>
        <w:t>广东省</w:t>
      </w:r>
      <w:r>
        <w:rPr>
          <w:rFonts w:ascii="方正小标宋简体" w:eastAsia="方正小标宋简体"/>
          <w:sz w:val="44"/>
          <w:szCs w:val="44"/>
        </w:rPr>
        <w:t>202</w:t>
      </w:r>
      <w:r>
        <w:rPr>
          <w:rFonts w:hint="eastAsia" w:ascii="方正小标宋简体" w:eastAsia="方正小标宋简体"/>
          <w:sz w:val="44"/>
          <w:szCs w:val="44"/>
          <w:lang w:val="en-US" w:eastAsia="zh-CN"/>
        </w:rPr>
        <w:t>4</w:t>
      </w:r>
      <w:r>
        <w:rPr>
          <w:rFonts w:hint="eastAsia" w:ascii="方正小标宋简体" w:eastAsia="方正小标宋简体"/>
          <w:sz w:val="44"/>
          <w:szCs w:val="44"/>
        </w:rPr>
        <w:t>年普通高等学校专升本</w:t>
      </w:r>
      <w:r>
        <w:rPr>
          <w:rFonts w:ascii="方正小标宋简体" w:eastAsia="方正小标宋简体"/>
          <w:sz w:val="44"/>
          <w:szCs w:val="44"/>
        </w:rPr>
        <w:t>(</w:t>
      </w:r>
      <w:r>
        <w:rPr>
          <w:rFonts w:hint="eastAsia" w:ascii="方正小标宋简体" w:eastAsia="方正小标宋简体"/>
          <w:sz w:val="44"/>
          <w:szCs w:val="44"/>
        </w:rPr>
        <w:t>含三二分段专升本转段</w:t>
      </w:r>
      <w:r>
        <w:rPr>
          <w:rFonts w:ascii="方正小标宋简体" w:eastAsia="方正小标宋简体"/>
          <w:sz w:val="44"/>
          <w:szCs w:val="44"/>
        </w:rPr>
        <w:t>)</w:t>
      </w:r>
      <w:r>
        <w:rPr>
          <w:rFonts w:hint="eastAsia" w:ascii="方正小标宋简体" w:eastAsia="方正小标宋简体"/>
          <w:sz w:val="44"/>
          <w:szCs w:val="44"/>
        </w:rPr>
        <w:t>招生统一考试</w:t>
      </w:r>
    </w:p>
    <w:p>
      <w:pPr>
        <w:snapToGrid w:val="0"/>
        <w:spacing w:line="460" w:lineRule="exact"/>
        <w:ind w:firstLine="880" w:firstLineChars="200"/>
        <w:jc w:val="center"/>
        <w:rPr>
          <w:rFonts w:ascii="方正小标宋简体" w:eastAsia="方正小标宋简体"/>
          <w:sz w:val="44"/>
          <w:szCs w:val="44"/>
        </w:rPr>
      </w:pPr>
      <w:r>
        <w:rPr>
          <w:rFonts w:hint="eastAsia" w:ascii="方正小标宋简体" w:eastAsia="方正小标宋简体"/>
          <w:sz w:val="44"/>
          <w:szCs w:val="44"/>
        </w:rPr>
        <w:t>考生诚信考试承诺书</w:t>
      </w:r>
      <w:r>
        <w:rPr>
          <w:rFonts w:ascii="方正小标宋简体" w:eastAsia="方正小标宋简体"/>
          <w:sz w:val="44"/>
          <w:szCs w:val="44"/>
        </w:rPr>
        <w:t> </w:t>
      </w:r>
    </w:p>
    <w:p>
      <w:pPr>
        <w:snapToGrid w:val="0"/>
        <w:spacing w:line="460" w:lineRule="exact"/>
        <w:ind w:firstLine="880" w:firstLineChars="200"/>
        <w:jc w:val="center"/>
        <w:rPr>
          <w:rFonts w:ascii="方正小标宋简体" w:eastAsia="方正小标宋简体"/>
          <w:sz w:val="44"/>
          <w:szCs w:val="44"/>
        </w:rPr>
      </w:pPr>
    </w:p>
    <w:p>
      <w:pPr>
        <w:adjustRightInd w:val="0"/>
        <w:snapToGrid w:val="0"/>
        <w:spacing w:line="560" w:lineRule="exact"/>
        <w:ind w:firstLine="640" w:firstLineChars="200"/>
        <w:outlineLvl w:val="0"/>
        <w:rPr>
          <w:rFonts w:eastAsia="仿宋_GB2312"/>
          <w:color w:val="auto"/>
          <w:sz w:val="32"/>
          <w:szCs w:val="32"/>
        </w:rPr>
      </w:pPr>
      <w:r>
        <w:rPr>
          <w:rFonts w:eastAsia="仿宋_GB2312"/>
          <w:color w:val="auto"/>
          <w:sz w:val="32"/>
          <w:szCs w:val="32"/>
        </w:rPr>
        <w:t>本人自愿参加广东省202</w:t>
      </w:r>
      <w:r>
        <w:rPr>
          <w:rFonts w:hint="eastAsia" w:eastAsia="仿宋_GB2312"/>
          <w:color w:val="auto"/>
          <w:sz w:val="32"/>
          <w:szCs w:val="32"/>
          <w:lang w:val="en-US" w:eastAsia="zh-CN"/>
        </w:rPr>
        <w:t>4</w:t>
      </w:r>
      <w:r>
        <w:rPr>
          <w:rFonts w:eastAsia="仿宋_GB2312"/>
          <w:color w:val="auto"/>
          <w:sz w:val="32"/>
          <w:szCs w:val="32"/>
        </w:rPr>
        <w:t>年普通高等学校专升本（以下简称普通专升本）招生统一考试，现郑重承诺： </w:t>
      </w:r>
    </w:p>
    <w:p>
      <w:pPr>
        <w:adjustRightInd w:val="0"/>
        <w:snapToGrid w:val="0"/>
        <w:spacing w:line="560" w:lineRule="exact"/>
        <w:ind w:firstLine="640" w:firstLineChars="200"/>
        <w:outlineLvl w:val="0"/>
        <w:rPr>
          <w:rFonts w:eastAsia="仿宋_GB2312"/>
          <w:color w:val="auto"/>
          <w:sz w:val="32"/>
          <w:szCs w:val="32"/>
        </w:rPr>
      </w:pPr>
      <w:r>
        <w:rPr>
          <w:rFonts w:eastAsia="仿宋_GB2312"/>
          <w:color w:val="auto"/>
          <w:sz w:val="32"/>
          <w:szCs w:val="32"/>
        </w:rPr>
        <w:t>一、本人已阅读了广东省202</w:t>
      </w:r>
      <w:r>
        <w:rPr>
          <w:rFonts w:hint="eastAsia" w:eastAsia="仿宋_GB2312"/>
          <w:color w:val="auto"/>
          <w:sz w:val="32"/>
          <w:szCs w:val="32"/>
          <w:lang w:val="en-US" w:eastAsia="zh-CN"/>
        </w:rPr>
        <w:t>4</w:t>
      </w:r>
      <w:r>
        <w:rPr>
          <w:rFonts w:eastAsia="仿宋_GB2312"/>
          <w:color w:val="auto"/>
          <w:sz w:val="32"/>
          <w:szCs w:val="32"/>
        </w:rPr>
        <w:t>年普通专升本招生统一考试的有关规定和纪律要求，愿意在考试中自觉遵守国家和广东省制定的有关本次考试的规定和守则，保证按规定的程序和要求参加考试，如有违反，自愿按《国家教育考试违规处理办法》有关条款接受处理。 </w:t>
      </w:r>
    </w:p>
    <w:p>
      <w:pPr>
        <w:adjustRightInd w:val="0"/>
        <w:snapToGrid w:val="0"/>
        <w:spacing w:line="560" w:lineRule="exact"/>
        <w:ind w:firstLine="640" w:firstLineChars="200"/>
        <w:outlineLvl w:val="0"/>
        <w:rPr>
          <w:rFonts w:eastAsia="仿宋_GB2312"/>
          <w:color w:val="auto"/>
          <w:sz w:val="32"/>
          <w:szCs w:val="32"/>
        </w:rPr>
      </w:pPr>
      <w:r>
        <w:rPr>
          <w:rFonts w:eastAsia="仿宋_GB2312"/>
          <w:color w:val="auto"/>
          <w:sz w:val="32"/>
          <w:szCs w:val="32"/>
        </w:rPr>
        <w:t>二、本人坚决遵守广东省202</w:t>
      </w:r>
      <w:r>
        <w:rPr>
          <w:rFonts w:hint="eastAsia" w:eastAsia="仿宋_GB2312"/>
          <w:color w:val="auto"/>
          <w:sz w:val="32"/>
          <w:szCs w:val="32"/>
          <w:lang w:val="en-US" w:eastAsia="zh-CN"/>
        </w:rPr>
        <w:t>4</w:t>
      </w:r>
      <w:r>
        <w:rPr>
          <w:rFonts w:eastAsia="仿宋_GB2312"/>
          <w:color w:val="auto"/>
          <w:sz w:val="32"/>
          <w:szCs w:val="32"/>
        </w:rPr>
        <w:t>年普通专升本招生统一考试有关报名规定，不弄虚作假，不伪造、使用假证明、假学籍材料、假证书。如有违反，自愿按有关规定接受处理。本人按报名规定需提交的专科毕业证书是国民教育系列毕业证书，在入学资格复查或入学期间（含领取本科毕业证资格审核），若被发现所持专科毕业证书无效，本人愿意承担由此造成的一切后果。 </w:t>
      </w:r>
    </w:p>
    <w:p>
      <w:pPr>
        <w:adjustRightInd w:val="0"/>
        <w:snapToGrid w:val="0"/>
        <w:spacing w:line="560" w:lineRule="exact"/>
        <w:ind w:firstLine="640" w:firstLineChars="200"/>
        <w:outlineLvl w:val="0"/>
        <w:rPr>
          <w:rFonts w:eastAsia="仿宋_GB2312"/>
          <w:color w:val="auto"/>
          <w:sz w:val="32"/>
          <w:szCs w:val="32"/>
        </w:rPr>
      </w:pPr>
      <w:r>
        <w:rPr>
          <w:rFonts w:eastAsia="仿宋_GB2312"/>
          <w:color w:val="auto"/>
          <w:sz w:val="32"/>
          <w:szCs w:val="32"/>
        </w:rPr>
        <w:t>三、本人坚决服从考场工作人员和监考教师的管理,自觉遵守考试纪律，考试诚实守信，不违规，不作弊。 </w:t>
      </w:r>
    </w:p>
    <w:p>
      <w:pPr>
        <w:adjustRightInd w:val="0"/>
        <w:snapToGrid w:val="0"/>
        <w:spacing w:line="560" w:lineRule="exact"/>
        <w:ind w:firstLine="640" w:firstLineChars="200"/>
        <w:outlineLvl w:val="0"/>
        <w:rPr>
          <w:rFonts w:eastAsia="仿宋_GB2312"/>
          <w:color w:val="auto"/>
          <w:sz w:val="32"/>
          <w:szCs w:val="32"/>
        </w:rPr>
      </w:pPr>
      <w:r>
        <w:rPr>
          <w:rFonts w:eastAsia="仿宋_GB2312"/>
          <w:color w:val="auto"/>
          <w:sz w:val="32"/>
          <w:szCs w:val="32"/>
        </w:rPr>
        <w:t>四、本人报名时所提供的个人信息是真实、准确的，如因个人信息错误、失真造成不良后果，责任由本人承担。</w:t>
      </w:r>
    </w:p>
    <w:p>
      <w:pPr>
        <w:snapToGrid w:val="0"/>
        <w:spacing w:line="460" w:lineRule="exact"/>
        <w:ind w:firstLine="640" w:firstLineChars="200"/>
        <w:jc w:val="center"/>
        <w:rPr>
          <w:rFonts w:ascii="??_GB2312" w:hAnsi="仿宋" w:eastAsia="Times New Roman"/>
          <w:sz w:val="32"/>
          <w:szCs w:val="32"/>
        </w:rPr>
      </w:pPr>
    </w:p>
    <w:p>
      <w:pPr>
        <w:snapToGrid w:val="0"/>
        <w:spacing w:line="520" w:lineRule="exact"/>
        <w:ind w:firstLine="5760" w:firstLineChars="1800"/>
        <w:rPr>
          <w:rFonts w:eastAsia="Times New Roman"/>
          <w:sz w:val="32"/>
          <w:szCs w:val="32"/>
        </w:rPr>
      </w:pPr>
      <w:r>
        <w:rPr>
          <w:rFonts w:hint="eastAsia" w:ascii="宋体" w:hAnsi="宋体" w:cs="宋体"/>
          <w:sz w:val="32"/>
          <w:szCs w:val="32"/>
        </w:rPr>
        <w:t>承诺人：</w:t>
      </w:r>
    </w:p>
    <w:p>
      <w:pPr>
        <w:snapToGrid w:val="0"/>
        <w:spacing w:line="460" w:lineRule="exact"/>
        <w:ind w:firstLine="640" w:firstLineChars="200"/>
        <w:jc w:val="center"/>
        <w:rPr>
          <w:rFonts w:ascii="??_GB2312" w:hAnsi="仿宋" w:eastAsia="Times New Roman"/>
          <w:sz w:val="32"/>
          <w:szCs w:val="32"/>
        </w:rPr>
      </w:pPr>
      <w:r>
        <w:rPr>
          <w:rFonts w:hint="eastAsia" w:ascii="??_GB2312" w:hAnsi="仿宋"/>
          <w:sz w:val="32"/>
          <w:szCs w:val="32"/>
          <w:lang w:val="en-US" w:eastAsia="zh-CN"/>
        </w:rPr>
        <w:t xml:space="preserve">                      </w:t>
      </w:r>
      <w:r>
        <w:rPr>
          <w:rFonts w:ascii="??_GB2312" w:hAnsi="仿宋" w:eastAsia="Times New Roman"/>
          <w:sz w:val="32"/>
          <w:szCs w:val="32"/>
        </w:rPr>
        <w:t xml:space="preserve">  202</w:t>
      </w:r>
      <w:r>
        <w:rPr>
          <w:rFonts w:hint="eastAsia" w:ascii="??_GB2312" w:hAnsi="仿宋"/>
          <w:sz w:val="32"/>
          <w:szCs w:val="32"/>
          <w:lang w:val="en-US" w:eastAsia="zh-CN"/>
        </w:rPr>
        <w:t>4</w:t>
      </w:r>
      <w:r>
        <w:rPr>
          <w:rFonts w:ascii="??_GB2312" w:hAnsi="仿宋" w:eastAsia="Times New Roman"/>
          <w:sz w:val="32"/>
          <w:szCs w:val="32"/>
        </w:rPr>
        <w:t>年 月</w:t>
      </w:r>
      <w:r>
        <w:rPr>
          <w:rFonts w:ascii="??_GB2312" w:eastAsia="Times New Roman" w:cs="Calibri"/>
          <w:sz w:val="32"/>
          <w:szCs w:val="32"/>
        </w:rPr>
        <w:t>  </w:t>
      </w:r>
    </w:p>
    <w:p>
      <w:pPr>
        <w:widowControl/>
        <w:snapToGrid w:val="0"/>
        <w:spacing w:line="560" w:lineRule="exact"/>
        <w:jc w:val="left"/>
        <w:outlineLvl w:val="0"/>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snapToGrid w:val="0"/>
        <w:spacing w:line="560" w:lineRule="exact"/>
        <w:ind w:firstLine="880" w:firstLineChars="200"/>
        <w:jc w:val="center"/>
        <w:rPr>
          <w:rFonts w:ascii="方正小标宋简体" w:eastAsia="方正小标宋简体"/>
          <w:sz w:val="44"/>
          <w:szCs w:val="44"/>
        </w:rPr>
      </w:pPr>
      <w:r>
        <w:rPr>
          <w:rFonts w:hint="eastAsia" w:ascii="方正小标宋简体" w:eastAsia="方正小标宋简体"/>
          <w:sz w:val="44"/>
          <w:szCs w:val="44"/>
        </w:rPr>
        <w:t>广东省</w:t>
      </w:r>
      <w:r>
        <w:rPr>
          <w:rFonts w:ascii="方正小标宋简体" w:eastAsia="方正小标宋简体"/>
          <w:sz w:val="44"/>
          <w:szCs w:val="44"/>
        </w:rPr>
        <w:t>202</w:t>
      </w:r>
      <w:r>
        <w:rPr>
          <w:rFonts w:hint="eastAsia" w:ascii="方正小标宋简体" w:eastAsia="方正小标宋简体"/>
          <w:sz w:val="44"/>
          <w:szCs w:val="44"/>
          <w:lang w:val="en-US" w:eastAsia="zh-CN"/>
        </w:rPr>
        <w:t>4</w:t>
      </w:r>
      <w:r>
        <w:rPr>
          <w:rFonts w:hint="eastAsia" w:ascii="方正小标宋简体" w:eastAsia="方正小标宋简体"/>
          <w:sz w:val="44"/>
          <w:szCs w:val="44"/>
        </w:rPr>
        <w:t>年普通高等学校专升本</w:t>
      </w:r>
    </w:p>
    <w:p>
      <w:pPr>
        <w:snapToGrid w:val="0"/>
        <w:spacing w:line="560" w:lineRule="exact"/>
        <w:ind w:firstLine="880" w:firstLineChars="200"/>
        <w:jc w:val="center"/>
        <w:rPr>
          <w:rFonts w:ascii="方正小标宋简体" w:eastAsia="方正小标宋简体"/>
          <w:sz w:val="44"/>
          <w:szCs w:val="44"/>
        </w:rPr>
      </w:pPr>
      <w:r>
        <w:rPr>
          <w:rFonts w:hint="eastAsia" w:ascii="方正小标宋简体" w:eastAsia="方正小标宋简体"/>
          <w:sz w:val="44"/>
          <w:szCs w:val="44"/>
        </w:rPr>
        <w:t>补报资料承诺书</w:t>
      </w:r>
    </w:p>
    <w:p>
      <w:pPr>
        <w:snapToGrid w:val="0"/>
        <w:spacing w:line="560" w:lineRule="exact"/>
        <w:ind w:firstLine="640" w:firstLineChars="200"/>
        <w:rPr>
          <w:rFonts w:ascii="仿宋" w:hAnsi="仿宋" w:eastAsia="仿宋" w:cs="仿宋"/>
          <w:sz w:val="32"/>
          <w:szCs w:val="32"/>
        </w:rPr>
      </w:pPr>
    </w:p>
    <w:p>
      <w:pPr>
        <w:adjustRightInd w:val="0"/>
        <w:snapToGrid w:val="0"/>
        <w:spacing w:line="560" w:lineRule="exact"/>
        <w:ind w:firstLine="640" w:firstLineChars="200"/>
        <w:outlineLvl w:val="0"/>
        <w:rPr>
          <w:rFonts w:eastAsia="仿宋_GB2312"/>
          <w:color w:val="auto"/>
          <w:sz w:val="32"/>
          <w:szCs w:val="32"/>
        </w:rPr>
      </w:pPr>
      <w:r>
        <w:rPr>
          <w:rFonts w:ascii="??_GB2312" w:hAnsi="仿宋" w:eastAsia="Times New Roman" w:cs="仿宋"/>
          <w:sz w:val="32"/>
          <w:szCs w:val="32"/>
        </w:rPr>
        <w:t xml:space="preserve">  </w:t>
      </w:r>
      <w:r>
        <w:rPr>
          <w:rFonts w:eastAsia="仿宋_GB2312"/>
          <w:color w:val="auto"/>
          <w:sz w:val="32"/>
          <w:szCs w:val="32"/>
        </w:rPr>
        <w:t>本人在预报名时，专科学历验证未通过或未能上传相关职业资格技能证书，现郑重承诺：</w:t>
      </w:r>
    </w:p>
    <w:p>
      <w:pPr>
        <w:adjustRightInd w:val="0"/>
        <w:snapToGrid w:val="0"/>
        <w:spacing w:line="560" w:lineRule="exact"/>
        <w:ind w:firstLine="640" w:firstLineChars="200"/>
        <w:outlineLvl w:val="0"/>
        <w:rPr>
          <w:rFonts w:eastAsia="仿宋_GB2312"/>
          <w:color w:val="auto"/>
          <w:sz w:val="32"/>
          <w:szCs w:val="32"/>
        </w:rPr>
      </w:pPr>
      <w:r>
        <w:rPr>
          <w:rFonts w:eastAsia="仿宋_GB2312"/>
          <w:color w:val="auto"/>
          <w:sz w:val="32"/>
          <w:szCs w:val="32"/>
        </w:rPr>
        <w:t xml:space="preserve"> 一、本人已阅读了《广东省202</w:t>
      </w:r>
      <w:r>
        <w:rPr>
          <w:rFonts w:hint="eastAsia" w:eastAsia="仿宋_GB2312"/>
          <w:color w:val="auto"/>
          <w:sz w:val="32"/>
          <w:szCs w:val="32"/>
          <w:lang w:val="en-US" w:eastAsia="zh-CN"/>
        </w:rPr>
        <w:t>4</w:t>
      </w:r>
      <w:r>
        <w:rPr>
          <w:rFonts w:eastAsia="仿宋_GB2312"/>
          <w:color w:val="auto"/>
          <w:sz w:val="32"/>
          <w:szCs w:val="32"/>
        </w:rPr>
        <w:t>年普通高等学校专升本招生工作规定》的有关政策和规定，承诺按规定在截止日期前，在“广东省202</w:t>
      </w:r>
      <w:r>
        <w:rPr>
          <w:rFonts w:hint="eastAsia" w:eastAsia="仿宋_GB2312"/>
          <w:color w:val="auto"/>
          <w:sz w:val="32"/>
          <w:szCs w:val="32"/>
          <w:lang w:val="en-US" w:eastAsia="zh-CN"/>
        </w:rPr>
        <w:t>4</w:t>
      </w:r>
      <w:r>
        <w:rPr>
          <w:rFonts w:eastAsia="仿宋_GB2312"/>
          <w:color w:val="auto"/>
          <w:sz w:val="32"/>
          <w:szCs w:val="32"/>
        </w:rPr>
        <w:t>年普通高校专升本报名系统”上传中国高等教育学历认证报告（或教育部学历证书电子注册备案表）或中级职业资格技能证书，由审核部门审核报考资格。</w:t>
      </w:r>
    </w:p>
    <w:p>
      <w:pPr>
        <w:adjustRightInd w:val="0"/>
        <w:snapToGrid w:val="0"/>
        <w:spacing w:line="560" w:lineRule="exact"/>
        <w:ind w:firstLine="640" w:firstLineChars="200"/>
        <w:outlineLvl w:val="0"/>
        <w:rPr>
          <w:rFonts w:eastAsia="仿宋_GB2312"/>
          <w:color w:val="auto"/>
          <w:sz w:val="32"/>
          <w:szCs w:val="32"/>
        </w:rPr>
      </w:pPr>
      <w:r>
        <w:rPr>
          <w:rFonts w:eastAsia="仿宋_GB2312"/>
          <w:color w:val="auto"/>
          <w:sz w:val="32"/>
          <w:szCs w:val="32"/>
        </w:rPr>
        <w:t>二、若本人中国高等教育学历认证报告（或教育部学历证书电子注册备案表）或中级职业资格技能证书审核不通过,或未在截止日期前上传中国高等教育学历认证报告（或教育部学历证书电子注册备案表）或中级职业资格技能证书，同意取消本人这次的报考资格。</w:t>
      </w:r>
    </w:p>
    <w:p>
      <w:pPr>
        <w:tabs>
          <w:tab w:val="left" w:pos="5220"/>
        </w:tabs>
        <w:spacing w:line="520" w:lineRule="exact"/>
        <w:rPr>
          <w:rFonts w:ascii="黑体" w:eastAsia="黑体"/>
          <w:sz w:val="32"/>
          <w:szCs w:val="32"/>
        </w:rPr>
      </w:pPr>
    </w:p>
    <w:p>
      <w:pPr>
        <w:tabs>
          <w:tab w:val="left" w:pos="5220"/>
        </w:tabs>
        <w:spacing w:line="520" w:lineRule="exact"/>
        <w:rPr>
          <w:rFonts w:ascii="黑体" w:eastAsia="黑体"/>
          <w:sz w:val="32"/>
          <w:szCs w:val="32"/>
        </w:rPr>
      </w:pPr>
    </w:p>
    <w:p>
      <w:pPr>
        <w:snapToGrid w:val="0"/>
        <w:spacing w:line="460" w:lineRule="exact"/>
        <w:jc w:val="center"/>
        <w:rPr>
          <w:rFonts w:ascii="??_GB2312" w:hAnsi="仿宋" w:eastAsia="Times New Roman"/>
          <w:sz w:val="32"/>
          <w:szCs w:val="32"/>
        </w:rPr>
      </w:pPr>
      <w:r>
        <w:rPr>
          <w:rFonts w:ascii="??_GB2312" w:hAnsi="仿宋" w:eastAsia="Times New Roman"/>
          <w:sz w:val="32"/>
          <w:szCs w:val="32"/>
        </w:rPr>
        <w:t xml:space="preserve">                             承诺人：</w:t>
      </w:r>
    </w:p>
    <w:p>
      <w:pPr>
        <w:snapToGrid w:val="0"/>
        <w:spacing w:line="460" w:lineRule="exact"/>
        <w:jc w:val="center"/>
        <w:rPr>
          <w:rFonts w:ascii="??_GB2312" w:hAnsi="仿宋" w:eastAsia="Times New Roman"/>
          <w:sz w:val="32"/>
          <w:szCs w:val="32"/>
        </w:rPr>
      </w:pPr>
      <w:r>
        <w:rPr>
          <w:rFonts w:hint="eastAsia" w:ascii="??_GB2312" w:hAnsi="仿宋"/>
          <w:sz w:val="32"/>
          <w:szCs w:val="32"/>
          <w:lang w:val="en-US" w:eastAsia="zh-CN"/>
        </w:rPr>
        <w:t xml:space="preserve">                           </w:t>
      </w:r>
      <w:r>
        <w:rPr>
          <w:rFonts w:ascii="??_GB2312" w:hAnsi="仿宋" w:eastAsia="Times New Roman"/>
          <w:sz w:val="32"/>
          <w:szCs w:val="32"/>
        </w:rPr>
        <w:t>202</w:t>
      </w:r>
      <w:r>
        <w:rPr>
          <w:rFonts w:hint="eastAsia" w:ascii="??_GB2312" w:hAnsi="仿宋"/>
          <w:sz w:val="32"/>
          <w:szCs w:val="32"/>
          <w:lang w:val="en-US" w:eastAsia="zh-CN"/>
        </w:rPr>
        <w:t>4</w:t>
      </w:r>
      <w:r>
        <w:rPr>
          <w:rFonts w:ascii="??_GB2312" w:hAnsi="仿宋" w:eastAsia="Times New Roman"/>
          <w:sz w:val="32"/>
          <w:szCs w:val="32"/>
        </w:rPr>
        <w:t>年 月</w:t>
      </w:r>
      <w:r>
        <w:rPr>
          <w:rFonts w:ascii="??_GB2312" w:eastAsia="Times New Roman" w:cs="Calibri"/>
          <w:sz w:val="32"/>
          <w:szCs w:val="32"/>
        </w:rPr>
        <w:t>  </w:t>
      </w:r>
    </w:p>
    <w:p>
      <w:pPr>
        <w:snapToGrid w:val="0"/>
        <w:spacing w:line="460" w:lineRule="exact"/>
        <w:jc w:val="center"/>
      </w:pPr>
    </w:p>
    <w:p>
      <w:pPr>
        <w:tabs>
          <w:tab w:val="left" w:pos="5220"/>
        </w:tabs>
        <w:snapToGrid w:val="0"/>
        <w:spacing w:line="560" w:lineRule="exact"/>
        <w:ind w:firstLine="640" w:firstLineChars="200"/>
        <w:rPr>
          <w:rFonts w:ascii="黑体" w:eastAsia="黑体"/>
          <w:sz w:val="32"/>
          <w:szCs w:val="32"/>
        </w:rPr>
      </w:pPr>
    </w:p>
    <w:p>
      <w:pPr>
        <w:tabs>
          <w:tab w:val="left" w:pos="5220"/>
        </w:tabs>
        <w:snapToGrid w:val="0"/>
        <w:spacing w:line="560" w:lineRule="exact"/>
        <w:ind w:firstLine="640" w:firstLineChars="200"/>
        <w:rPr>
          <w:rFonts w:ascii="黑体" w:eastAsia="黑体"/>
          <w:sz w:val="32"/>
          <w:szCs w:val="32"/>
        </w:rPr>
      </w:pPr>
    </w:p>
    <w:p>
      <w:pPr>
        <w:tabs>
          <w:tab w:val="left" w:pos="5220"/>
        </w:tabs>
        <w:spacing w:line="520" w:lineRule="exact"/>
        <w:rPr>
          <w:rFonts w:ascii="黑体" w:eastAsia="黑体"/>
          <w:sz w:val="32"/>
          <w:szCs w:val="32"/>
        </w:rPr>
      </w:pPr>
    </w:p>
    <w:p>
      <w:pPr>
        <w:tabs>
          <w:tab w:val="left" w:pos="5220"/>
        </w:tabs>
        <w:spacing w:line="520" w:lineRule="exact"/>
        <w:rPr>
          <w:rFonts w:ascii="黑体" w:eastAsia="黑体"/>
          <w:sz w:val="32"/>
          <w:szCs w:val="32"/>
        </w:rPr>
      </w:pPr>
    </w:p>
    <w:p>
      <w:pPr>
        <w:tabs>
          <w:tab w:val="left" w:pos="5220"/>
        </w:tabs>
        <w:spacing w:line="520" w:lineRule="exact"/>
        <w:rPr>
          <w:rFonts w:ascii="黑体" w:eastAsia="黑体"/>
          <w:sz w:val="32"/>
          <w:szCs w:val="32"/>
        </w:rPr>
      </w:pPr>
      <w:r>
        <w:rPr>
          <w:rFonts w:hint="eastAsia" w:ascii="黑体" w:eastAsia="黑体"/>
          <w:sz w:val="32"/>
          <w:szCs w:val="32"/>
        </w:rPr>
        <w:t>附件</w:t>
      </w:r>
      <w:r>
        <w:rPr>
          <w:rFonts w:ascii="黑体" w:eastAsia="黑体"/>
          <w:sz w:val="32"/>
          <w:szCs w:val="32"/>
        </w:rPr>
        <w:t>3</w:t>
      </w:r>
    </w:p>
    <w:p>
      <w:pPr>
        <w:spacing w:line="520" w:lineRule="exact"/>
        <w:ind w:firstLine="880" w:firstLineChars="200"/>
        <w:jc w:val="center"/>
        <w:rPr>
          <w:rFonts w:ascii="方正小标宋简体" w:eastAsia="方正小标宋简体"/>
          <w:sz w:val="44"/>
          <w:szCs w:val="44"/>
        </w:rPr>
      </w:pPr>
      <w:r>
        <w:rPr>
          <w:rFonts w:hint="eastAsia" w:ascii="方正小标宋简体" w:eastAsia="方正小标宋简体"/>
          <w:sz w:val="44"/>
          <w:szCs w:val="44"/>
        </w:rPr>
        <w:t>广东省</w:t>
      </w:r>
      <w:r>
        <w:rPr>
          <w:rFonts w:ascii="方正小标宋简体" w:eastAsia="方正小标宋简体"/>
          <w:sz w:val="44"/>
          <w:szCs w:val="44"/>
        </w:rPr>
        <w:t>202</w:t>
      </w:r>
      <w:r>
        <w:rPr>
          <w:rFonts w:hint="eastAsia" w:ascii="方正小标宋简体" w:eastAsia="方正小标宋简体"/>
          <w:sz w:val="44"/>
          <w:szCs w:val="44"/>
          <w:lang w:val="en-US" w:eastAsia="zh-CN"/>
        </w:rPr>
        <w:t>4</w:t>
      </w:r>
      <w:r>
        <w:rPr>
          <w:rFonts w:hint="eastAsia" w:ascii="方正小标宋简体" w:eastAsia="方正小标宋简体"/>
          <w:sz w:val="44"/>
          <w:szCs w:val="44"/>
        </w:rPr>
        <w:t>年普通高校专升本考生</w:t>
      </w:r>
    </w:p>
    <w:p>
      <w:pPr>
        <w:spacing w:line="520" w:lineRule="exact"/>
        <w:ind w:firstLine="880" w:firstLineChars="200"/>
        <w:jc w:val="center"/>
        <w:rPr>
          <w:rFonts w:ascii="方正小标宋简体" w:eastAsia="方正小标宋简体"/>
          <w:sz w:val="44"/>
          <w:szCs w:val="44"/>
        </w:rPr>
      </w:pPr>
      <w:r>
        <w:rPr>
          <w:rFonts w:hint="eastAsia" w:ascii="方正小标宋简体" w:eastAsia="方正小标宋简体"/>
          <w:sz w:val="44"/>
          <w:szCs w:val="44"/>
        </w:rPr>
        <w:t>专科毕业学历验证方式</w:t>
      </w:r>
    </w:p>
    <w:p>
      <w:pPr>
        <w:spacing w:line="520" w:lineRule="exact"/>
        <w:ind w:firstLine="600" w:firstLineChars="200"/>
        <w:rPr>
          <w:sz w:val="30"/>
          <w:szCs w:val="30"/>
        </w:rPr>
      </w:pPr>
    </w:p>
    <w:p>
      <w:pPr>
        <w:adjustRightInd w:val="0"/>
        <w:snapToGrid w:val="0"/>
        <w:spacing w:line="560" w:lineRule="exact"/>
        <w:ind w:firstLine="640" w:firstLineChars="200"/>
        <w:outlineLvl w:val="0"/>
        <w:rPr>
          <w:rFonts w:eastAsia="仿宋_GB2312"/>
          <w:color w:val="auto"/>
          <w:sz w:val="32"/>
          <w:szCs w:val="32"/>
        </w:rPr>
      </w:pPr>
      <w:r>
        <w:rPr>
          <w:rFonts w:eastAsia="仿宋_GB2312"/>
          <w:color w:val="auto"/>
          <w:sz w:val="32"/>
          <w:szCs w:val="32"/>
        </w:rPr>
        <w:t>一、考生在预报名时自行在广东省普通专升本招生报名系统中验证专科学历。广东省普通专升本网上报名系统（网址：http://</w:t>
      </w:r>
      <w:r>
        <w:rPr>
          <w:rFonts w:eastAsia="仿宋_GB2312"/>
          <w:color w:val="auto"/>
          <w:sz w:val="32"/>
          <w:szCs w:val="32"/>
        </w:rPr>
        <w:fldChar w:fldCharType="begin"/>
      </w:r>
      <w:r>
        <w:rPr>
          <w:rFonts w:eastAsia="仿宋_GB2312"/>
          <w:color w:val="auto"/>
          <w:sz w:val="32"/>
          <w:szCs w:val="32"/>
        </w:rPr>
        <w:instrText xml:space="preserve"> HYPERLINK "http://www.ecogd.edu.cn/" </w:instrText>
      </w:r>
      <w:r>
        <w:rPr>
          <w:rFonts w:eastAsia="仿宋_GB2312"/>
          <w:color w:val="auto"/>
          <w:sz w:val="32"/>
          <w:szCs w:val="32"/>
        </w:rPr>
        <w:fldChar w:fldCharType="separate"/>
      </w:r>
      <w:r>
        <w:rPr>
          <w:rFonts w:eastAsia="仿宋_GB2312"/>
          <w:color w:val="auto"/>
          <w:sz w:val="32"/>
          <w:szCs w:val="32"/>
        </w:rPr>
        <w:t>www.eeagd.edu.cn/</w:t>
      </w:r>
      <w:r>
        <w:rPr>
          <w:rFonts w:eastAsia="仿宋_GB2312"/>
          <w:color w:val="auto"/>
          <w:sz w:val="32"/>
          <w:szCs w:val="32"/>
        </w:rPr>
        <w:fldChar w:fldCharType="end"/>
      </w:r>
      <w:r>
        <w:rPr>
          <w:rFonts w:eastAsia="仿宋_GB2312"/>
          <w:color w:val="auto"/>
          <w:sz w:val="32"/>
          <w:szCs w:val="32"/>
        </w:rPr>
        <w:t xml:space="preserve"> ptzsbks）具有“专科学历验证”功能。已取得专科毕业证的考生在预报名过程中可自行进行专科学历验证，由报名系统自动反馈验证结果。该项专科学历验证功能仅限于已取得专科毕业证的考生进行在线学历验证。</w:t>
      </w:r>
    </w:p>
    <w:p>
      <w:pPr>
        <w:adjustRightInd w:val="0"/>
        <w:snapToGrid w:val="0"/>
        <w:spacing w:line="560" w:lineRule="exact"/>
        <w:ind w:firstLine="640" w:firstLineChars="200"/>
        <w:outlineLvl w:val="0"/>
        <w:rPr>
          <w:rFonts w:eastAsia="仿宋_GB2312"/>
          <w:color w:val="auto"/>
          <w:sz w:val="32"/>
          <w:szCs w:val="32"/>
        </w:rPr>
      </w:pPr>
      <w:r>
        <w:rPr>
          <w:rFonts w:eastAsia="仿宋_GB2312"/>
          <w:color w:val="auto"/>
          <w:sz w:val="32"/>
          <w:szCs w:val="32"/>
        </w:rPr>
        <w:t>二、属于1991年以前毕业的专科毕业生或在报名系统中确实无法查询到验证结果的考生，考生须自行前往学信网（https://www.chsi.com.cn/xlrz/index.jsp）网上申请专科学历认证，并在规定时间内在报名系统中上传相关验证结果材料。</w:t>
      </w:r>
    </w:p>
    <w:p>
      <w:pPr>
        <w:ind w:firstLine="420" w:firstLineChars="200"/>
      </w:pPr>
    </w:p>
    <w:p>
      <w:pPr>
        <w:ind w:firstLine="640" w:firstLineChars="200"/>
        <w:rPr>
          <w:rFonts w:ascii="黑体" w:hAnsi="黑体" w:eastAsia="黑体" w:cs="黑体"/>
          <w:sz w:val="32"/>
          <w:szCs w:val="32"/>
        </w:rPr>
      </w:pPr>
    </w:p>
    <w:p>
      <w:pPr>
        <w:pStyle w:val="2"/>
        <w:ind w:firstLine="643" w:firstLineChars="200"/>
        <w:rPr>
          <w:rFonts w:ascii="黑体" w:hAnsi="黑体" w:eastAsia="黑体" w:cs="黑体"/>
        </w:rPr>
      </w:pPr>
    </w:p>
    <w:p>
      <w:pPr>
        <w:rPr>
          <w:rFonts w:ascii="黑体" w:hAnsi="黑体" w:eastAsia="黑体" w:cs="黑体"/>
        </w:rPr>
      </w:pPr>
    </w:p>
    <w:p>
      <w:pPr>
        <w:pStyle w:val="2"/>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4</w:t>
      </w:r>
    </w:p>
    <w:p>
      <w:pPr>
        <w:tabs>
          <w:tab w:val="left" w:pos="1800"/>
        </w:tabs>
        <w:spacing w:line="560" w:lineRule="exact"/>
        <w:ind w:firstLine="720" w:firstLineChars="200"/>
        <w:jc w:val="center"/>
        <w:rPr>
          <w:rFonts w:ascii="??_GB2312" w:eastAsia="Times New Roman"/>
          <w:sz w:val="36"/>
          <w:szCs w:val="36"/>
        </w:rPr>
      </w:pPr>
      <w:r>
        <w:rPr>
          <w:rFonts w:hint="eastAsia" w:ascii="方正小标宋简体" w:eastAsia="方正小标宋简体"/>
          <w:sz w:val="36"/>
          <w:szCs w:val="36"/>
        </w:rPr>
        <w:t>广东省</w:t>
      </w:r>
      <w:r>
        <w:rPr>
          <w:rFonts w:ascii="方正小标宋简体" w:eastAsia="方正小标宋简体"/>
          <w:sz w:val="36"/>
          <w:szCs w:val="36"/>
        </w:rPr>
        <w:t>202</w:t>
      </w:r>
      <w:r>
        <w:rPr>
          <w:rFonts w:hint="eastAsia" w:ascii="方正小标宋简体" w:eastAsia="方正小标宋简体"/>
          <w:sz w:val="36"/>
          <w:szCs w:val="36"/>
          <w:lang w:val="en-US" w:eastAsia="zh-CN"/>
        </w:rPr>
        <w:t>4</w:t>
      </w:r>
      <w:r>
        <w:rPr>
          <w:rFonts w:hint="eastAsia" w:ascii="方正小标宋简体" w:eastAsia="方正小标宋简体"/>
          <w:sz w:val="36"/>
          <w:szCs w:val="36"/>
        </w:rPr>
        <w:t>年普通高校专升本招生体格检查表</w:t>
      </w:r>
    </w:p>
    <w:p>
      <w:pPr>
        <w:spacing w:line="240" w:lineRule="exact"/>
        <w:ind w:firstLine="480" w:firstLineChars="200"/>
        <w:jc w:val="center"/>
        <w:rPr>
          <w:rFonts w:ascii="??_GB2312" w:eastAsia="Times New Roman"/>
          <w:sz w:val="24"/>
        </w:rPr>
      </w:pPr>
    </w:p>
    <w:p>
      <w:pPr>
        <w:ind w:firstLine="480" w:firstLineChars="200"/>
        <w:jc w:val="left"/>
        <w:rPr>
          <w:rFonts w:ascii="??_GB2312" w:eastAsia="Times New Roman"/>
          <w:sz w:val="24"/>
          <w:u w:val="single"/>
        </w:rPr>
      </w:pPr>
      <w:r>
        <w:rPr>
          <w:rFonts w:ascii="??_GB2312" w:eastAsia="Times New Roman"/>
          <w:sz w:val="24"/>
        </w:rPr>
        <w:t>准考证号：</w:t>
      </w:r>
      <w:r>
        <w:rPr>
          <w:rFonts w:hint="eastAsia" w:ascii="??_GB2312"/>
          <w:sz w:val="24"/>
          <w:lang w:val="en-US" w:eastAsia="zh-CN"/>
        </w:rPr>
        <w:t xml:space="preserve">           </w:t>
      </w:r>
      <w:r>
        <w:rPr>
          <w:rFonts w:ascii="??_GB2312" w:eastAsia="Times New Roman"/>
          <w:sz w:val="24"/>
        </w:rPr>
        <w:t>市</w:t>
      </w:r>
      <w:r>
        <w:rPr>
          <w:rFonts w:hint="eastAsia" w:ascii="??_GB2312"/>
          <w:sz w:val="24"/>
          <w:lang w:val="en-US" w:eastAsia="zh-CN"/>
        </w:rPr>
        <w:t xml:space="preserve">       </w:t>
      </w:r>
      <w:r>
        <w:rPr>
          <w:rFonts w:ascii="??_GB2312" w:eastAsia="Times New Roman"/>
          <w:sz w:val="24"/>
        </w:rPr>
        <w:t>县（市、区）        考生签名：</w:t>
      </w:r>
    </w:p>
    <w:p>
      <w:pPr>
        <w:ind w:firstLine="420" w:firstLineChars="200"/>
        <w:rPr>
          <w:rFonts w:ascii="??_GB2312" w:eastAsia="Times New Roman"/>
          <w:szCs w:val="21"/>
          <w:u w:val="single"/>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714"/>
        <w:gridCol w:w="366"/>
        <w:gridCol w:w="360"/>
        <w:gridCol w:w="239"/>
        <w:gridCol w:w="121"/>
        <w:gridCol w:w="360"/>
        <w:gridCol w:w="20"/>
        <w:gridCol w:w="39"/>
        <w:gridCol w:w="301"/>
        <w:gridCol w:w="180"/>
        <w:gridCol w:w="540"/>
        <w:gridCol w:w="59"/>
        <w:gridCol w:w="121"/>
        <w:gridCol w:w="239"/>
        <w:gridCol w:w="661"/>
        <w:gridCol w:w="180"/>
        <w:gridCol w:w="180"/>
        <w:gridCol w:w="1080"/>
        <w:gridCol w:w="800"/>
        <w:gridCol w:w="1913"/>
      </w:tblGrid>
      <w:tr>
        <w:trPr>
          <w:trHeight w:val="570" w:hRule="atLeast"/>
          <w:jc w:val="center"/>
        </w:trPr>
        <w:tc>
          <w:tcPr>
            <w:tcW w:w="1247" w:type="dxa"/>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姓名</w:t>
            </w:r>
          </w:p>
        </w:tc>
        <w:tc>
          <w:tcPr>
            <w:tcW w:w="1440" w:type="dxa"/>
            <w:gridSpan w:val="3"/>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　</w:t>
            </w:r>
          </w:p>
        </w:tc>
        <w:tc>
          <w:tcPr>
            <w:tcW w:w="779" w:type="dxa"/>
            <w:gridSpan w:val="5"/>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性别</w:t>
            </w:r>
          </w:p>
        </w:tc>
        <w:tc>
          <w:tcPr>
            <w:tcW w:w="1021" w:type="dxa"/>
            <w:gridSpan w:val="3"/>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　</w:t>
            </w:r>
          </w:p>
        </w:tc>
        <w:tc>
          <w:tcPr>
            <w:tcW w:w="1080" w:type="dxa"/>
            <w:gridSpan w:val="4"/>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出生</w:t>
            </w:r>
          </w:p>
        </w:tc>
        <w:tc>
          <w:tcPr>
            <w:tcW w:w="2240" w:type="dxa"/>
            <w:gridSpan w:val="4"/>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 xml:space="preserve">   年  月  日</w:t>
            </w:r>
          </w:p>
        </w:tc>
        <w:tc>
          <w:tcPr>
            <w:tcW w:w="1913" w:type="dxa"/>
            <w:vMerge w:val="restart"/>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br w:type="textWrapping"/>
            </w:r>
            <w:r>
              <w:rPr>
                <w:rFonts w:ascii="??_GB2312" w:hAnsi="宋体" w:eastAsia="Times New Roman" w:cs="宋体"/>
                <w:kern w:val="0"/>
                <w:szCs w:val="21"/>
              </w:rPr>
              <w:br w:type="textWrapping"/>
            </w:r>
            <w:r>
              <w:rPr>
                <w:rFonts w:ascii="??_GB2312" w:hAnsi="宋体" w:eastAsia="Times New Roman" w:cs="宋体"/>
                <w:kern w:val="0"/>
                <w:szCs w:val="21"/>
              </w:rPr>
              <w:t>半身一寸</w:t>
            </w:r>
            <w:r>
              <w:rPr>
                <w:rFonts w:ascii="??_GB2312" w:hAnsi="宋体" w:eastAsia="Times New Roman" w:cs="宋体"/>
                <w:kern w:val="0"/>
                <w:szCs w:val="21"/>
              </w:rPr>
              <w:br w:type="textWrapping"/>
            </w:r>
            <w:r>
              <w:rPr>
                <w:rFonts w:ascii="??_GB2312" w:hAnsi="宋体" w:eastAsia="Times New Roman" w:cs="宋体"/>
                <w:kern w:val="0"/>
                <w:szCs w:val="21"/>
              </w:rPr>
              <w:t>脱帽相片</w:t>
            </w:r>
            <w:r>
              <w:rPr>
                <w:rFonts w:ascii="??_GB2312" w:hAnsi="宋体" w:eastAsia="Times New Roman" w:cs="宋体"/>
                <w:kern w:val="0"/>
                <w:szCs w:val="21"/>
              </w:rPr>
              <w:br w:type="textWrapping"/>
            </w:r>
            <w:r>
              <w:rPr>
                <w:rFonts w:ascii="??_GB2312" w:hAnsi="宋体" w:eastAsia="Times New Roman" w:cs="宋体"/>
                <w:kern w:val="0"/>
                <w:szCs w:val="21"/>
              </w:rPr>
              <w:br w:type="textWrapping"/>
            </w:r>
            <w:r>
              <w:rPr>
                <w:rFonts w:ascii="??_GB2312" w:hAnsi="宋体" w:eastAsia="Times New Roman" w:cs="宋体"/>
                <w:kern w:val="0"/>
                <w:szCs w:val="21"/>
              </w:rPr>
              <w:br w:type="textWrapping"/>
            </w:r>
            <w:r>
              <w:rPr>
                <w:rFonts w:ascii="??_GB2312" w:hAnsi="宋体" w:eastAsia="Times New Roman" w:cs="宋体"/>
                <w:kern w:val="0"/>
                <w:szCs w:val="21"/>
              </w:rPr>
              <w:t>体检医院</w:t>
            </w:r>
            <w:r>
              <w:rPr>
                <w:rFonts w:ascii="??_GB2312" w:hAnsi="宋体" w:eastAsia="Times New Roman" w:cs="宋体"/>
                <w:kern w:val="0"/>
                <w:szCs w:val="21"/>
              </w:rPr>
              <w:br w:type="textWrapping"/>
            </w:r>
            <w:r>
              <w:rPr>
                <w:rFonts w:ascii="??_GB2312" w:hAnsi="宋体" w:eastAsia="Times New Roman" w:cs="宋体"/>
                <w:kern w:val="0"/>
                <w:szCs w:val="21"/>
              </w:rPr>
              <w:t>体检章</w:t>
            </w:r>
          </w:p>
        </w:tc>
      </w:tr>
      <w:tr>
        <w:trPr>
          <w:trHeight w:val="501" w:hRule="atLeast"/>
          <w:jc w:val="center"/>
        </w:trPr>
        <w:tc>
          <w:tcPr>
            <w:tcW w:w="1247" w:type="dxa"/>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文化程度</w:t>
            </w:r>
          </w:p>
        </w:tc>
        <w:tc>
          <w:tcPr>
            <w:tcW w:w="1080" w:type="dxa"/>
            <w:gridSpan w:val="2"/>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　</w:t>
            </w:r>
          </w:p>
        </w:tc>
        <w:tc>
          <w:tcPr>
            <w:tcW w:w="720" w:type="dxa"/>
            <w:gridSpan w:val="3"/>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民族</w:t>
            </w:r>
          </w:p>
        </w:tc>
        <w:tc>
          <w:tcPr>
            <w:tcW w:w="900" w:type="dxa"/>
            <w:gridSpan w:val="5"/>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　</w:t>
            </w:r>
          </w:p>
        </w:tc>
        <w:tc>
          <w:tcPr>
            <w:tcW w:w="959" w:type="dxa"/>
            <w:gridSpan w:val="4"/>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职业</w:t>
            </w:r>
          </w:p>
        </w:tc>
        <w:tc>
          <w:tcPr>
            <w:tcW w:w="1021" w:type="dxa"/>
            <w:gridSpan w:val="3"/>
            <w:noWrap/>
            <w:vAlign w:val="center"/>
          </w:tcPr>
          <w:p>
            <w:pPr>
              <w:widowControl/>
              <w:jc w:val="center"/>
              <w:rPr>
                <w:rFonts w:ascii="??_GB2312" w:hAnsi="宋体" w:eastAsia="Times New Roman" w:cs="宋体"/>
                <w:kern w:val="0"/>
                <w:szCs w:val="21"/>
              </w:rPr>
            </w:pPr>
          </w:p>
        </w:tc>
        <w:tc>
          <w:tcPr>
            <w:tcW w:w="1080" w:type="dxa"/>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婚否</w:t>
            </w:r>
          </w:p>
        </w:tc>
        <w:tc>
          <w:tcPr>
            <w:tcW w:w="800" w:type="dxa"/>
            <w:noWrap/>
            <w:vAlign w:val="center"/>
          </w:tcPr>
          <w:p>
            <w:pPr>
              <w:widowControl/>
              <w:jc w:val="left"/>
              <w:rPr>
                <w:rFonts w:ascii="??_GB2312" w:hAnsi="宋体" w:eastAsia="Times New Roman" w:cs="宋体"/>
                <w:kern w:val="0"/>
                <w:szCs w:val="21"/>
              </w:rPr>
            </w:pPr>
          </w:p>
        </w:tc>
        <w:tc>
          <w:tcPr>
            <w:tcW w:w="1913" w:type="dxa"/>
            <w:vMerge w:val="continue"/>
            <w:noWrap/>
            <w:vAlign w:val="center"/>
          </w:tcPr>
          <w:p>
            <w:pPr>
              <w:widowControl/>
              <w:jc w:val="left"/>
              <w:rPr>
                <w:rFonts w:ascii="??_GB2312" w:hAnsi="宋体" w:eastAsia="Times New Roman" w:cs="宋体"/>
                <w:kern w:val="0"/>
                <w:szCs w:val="21"/>
              </w:rPr>
            </w:pPr>
          </w:p>
        </w:tc>
      </w:tr>
      <w:tr>
        <w:trPr>
          <w:trHeight w:val="630" w:hRule="atLeast"/>
          <w:jc w:val="center"/>
        </w:trPr>
        <w:tc>
          <w:tcPr>
            <w:tcW w:w="1247" w:type="dxa"/>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籍贯</w:t>
            </w:r>
          </w:p>
        </w:tc>
        <w:tc>
          <w:tcPr>
            <w:tcW w:w="714" w:type="dxa"/>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　</w:t>
            </w:r>
          </w:p>
        </w:tc>
        <w:tc>
          <w:tcPr>
            <w:tcW w:w="1466" w:type="dxa"/>
            <w:gridSpan w:val="6"/>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 xml:space="preserve"> 现住所及           通讯处</w:t>
            </w:r>
          </w:p>
        </w:tc>
        <w:tc>
          <w:tcPr>
            <w:tcW w:w="4380" w:type="dxa"/>
            <w:gridSpan w:val="12"/>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　</w:t>
            </w:r>
          </w:p>
        </w:tc>
        <w:tc>
          <w:tcPr>
            <w:tcW w:w="1913" w:type="dxa"/>
            <w:vMerge w:val="continue"/>
            <w:noWrap/>
            <w:vAlign w:val="center"/>
          </w:tcPr>
          <w:p>
            <w:pPr>
              <w:widowControl/>
              <w:jc w:val="left"/>
              <w:rPr>
                <w:rFonts w:ascii="??_GB2312" w:hAnsi="宋体" w:eastAsia="Times New Roman" w:cs="宋体"/>
                <w:kern w:val="0"/>
                <w:szCs w:val="21"/>
              </w:rPr>
            </w:pPr>
          </w:p>
        </w:tc>
      </w:tr>
      <w:tr>
        <w:trPr>
          <w:trHeight w:val="855" w:hRule="atLeast"/>
          <w:jc w:val="center"/>
        </w:trPr>
        <w:tc>
          <w:tcPr>
            <w:tcW w:w="1247" w:type="dxa"/>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原毕业学校或工作单位</w:t>
            </w:r>
          </w:p>
        </w:tc>
        <w:tc>
          <w:tcPr>
            <w:tcW w:w="6560" w:type="dxa"/>
            <w:gridSpan w:val="19"/>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　</w:t>
            </w:r>
          </w:p>
        </w:tc>
        <w:tc>
          <w:tcPr>
            <w:tcW w:w="1913" w:type="dxa"/>
            <w:vMerge w:val="continue"/>
            <w:noWrap/>
            <w:vAlign w:val="center"/>
          </w:tcPr>
          <w:p>
            <w:pPr>
              <w:widowControl/>
              <w:jc w:val="left"/>
              <w:rPr>
                <w:rFonts w:ascii="??_GB2312" w:hAnsi="宋体" w:eastAsia="Times New Roman" w:cs="宋体"/>
                <w:kern w:val="0"/>
                <w:szCs w:val="21"/>
              </w:rPr>
            </w:pPr>
          </w:p>
        </w:tc>
      </w:tr>
      <w:tr>
        <w:trPr>
          <w:trHeight w:val="574" w:hRule="atLeast"/>
          <w:jc w:val="center"/>
        </w:trPr>
        <w:tc>
          <w:tcPr>
            <w:tcW w:w="1247" w:type="dxa"/>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既往病史</w:t>
            </w:r>
          </w:p>
        </w:tc>
        <w:tc>
          <w:tcPr>
            <w:tcW w:w="6560" w:type="dxa"/>
            <w:gridSpan w:val="19"/>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　</w:t>
            </w:r>
          </w:p>
        </w:tc>
        <w:tc>
          <w:tcPr>
            <w:tcW w:w="1913" w:type="dxa"/>
            <w:vMerge w:val="continue"/>
            <w:noWrap/>
            <w:vAlign w:val="center"/>
          </w:tcPr>
          <w:p>
            <w:pPr>
              <w:widowControl/>
              <w:jc w:val="left"/>
              <w:rPr>
                <w:rFonts w:ascii="??_GB2312" w:hAnsi="宋体" w:eastAsia="Times New Roman" w:cs="宋体"/>
                <w:kern w:val="0"/>
                <w:szCs w:val="21"/>
              </w:rPr>
            </w:pPr>
          </w:p>
        </w:tc>
      </w:tr>
      <w:tr>
        <w:trPr>
          <w:trHeight w:val="433" w:hRule="atLeast"/>
          <w:jc w:val="center"/>
        </w:trPr>
        <w:tc>
          <w:tcPr>
            <w:tcW w:w="9720" w:type="dxa"/>
            <w:gridSpan w:val="21"/>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（以上由考生本人如实填写）</w:t>
            </w:r>
          </w:p>
        </w:tc>
      </w:tr>
      <w:tr>
        <w:trPr>
          <w:trHeight w:val="405" w:hRule="atLeast"/>
          <w:jc w:val="center"/>
        </w:trPr>
        <w:tc>
          <w:tcPr>
            <w:tcW w:w="1247" w:type="dxa"/>
            <w:vMerge w:val="restart"/>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眼科</w:t>
            </w:r>
          </w:p>
        </w:tc>
        <w:tc>
          <w:tcPr>
            <w:tcW w:w="1080" w:type="dxa"/>
            <w:gridSpan w:val="2"/>
            <w:vMerge w:val="restart"/>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裸眼视力</w:t>
            </w:r>
          </w:p>
        </w:tc>
        <w:tc>
          <w:tcPr>
            <w:tcW w:w="1100" w:type="dxa"/>
            <w:gridSpan w:val="5"/>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右</w:t>
            </w:r>
          </w:p>
        </w:tc>
        <w:tc>
          <w:tcPr>
            <w:tcW w:w="1119" w:type="dxa"/>
            <w:gridSpan w:val="5"/>
            <w:vMerge w:val="restart"/>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矫正视力</w:t>
            </w:r>
          </w:p>
        </w:tc>
        <w:tc>
          <w:tcPr>
            <w:tcW w:w="3261" w:type="dxa"/>
            <w:gridSpan w:val="7"/>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右      矫正度数：</w:t>
            </w:r>
          </w:p>
        </w:tc>
        <w:tc>
          <w:tcPr>
            <w:tcW w:w="1913" w:type="dxa"/>
            <w:vMerge w:val="restart"/>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医师意见</w:t>
            </w:r>
            <w:r>
              <w:rPr>
                <w:rFonts w:ascii="??_GB2312" w:hAnsi="宋体" w:eastAsia="Times New Roman" w:cs="宋体"/>
                <w:kern w:val="0"/>
                <w:szCs w:val="21"/>
              </w:rPr>
              <w:br w:type="textWrapping"/>
            </w:r>
            <w:r>
              <w:rPr>
                <w:rFonts w:ascii="??_GB2312" w:hAnsi="宋体" w:eastAsia="Times New Roman" w:cs="宋体"/>
                <w:kern w:val="0"/>
                <w:szCs w:val="21"/>
              </w:rPr>
              <w:t>（签字）</w:t>
            </w:r>
            <w:r>
              <w:rPr>
                <w:rFonts w:ascii="??_GB2312" w:hAnsi="宋体" w:eastAsia="Times New Roman" w:cs="宋体"/>
                <w:kern w:val="0"/>
                <w:szCs w:val="21"/>
              </w:rPr>
              <w:br w:type="textWrapping"/>
            </w:r>
            <w:r>
              <w:rPr>
                <w:rFonts w:ascii="??_GB2312" w:hAnsi="宋体" w:eastAsia="Times New Roman" w:cs="宋体"/>
                <w:kern w:val="0"/>
                <w:szCs w:val="21"/>
              </w:rPr>
              <w:br w:type="textWrapping"/>
            </w:r>
            <w:r>
              <w:rPr>
                <w:rFonts w:ascii="??_GB2312" w:hAnsi="宋体" w:eastAsia="Times New Roman" w:cs="宋体"/>
                <w:kern w:val="0"/>
                <w:szCs w:val="21"/>
              </w:rPr>
              <w:br w:type="textWrapping"/>
            </w:r>
            <w:r>
              <w:rPr>
                <w:rFonts w:ascii="??_GB2312" w:hAnsi="宋体" w:eastAsia="Times New Roman" w:cs="宋体"/>
                <w:kern w:val="0"/>
                <w:szCs w:val="21"/>
              </w:rPr>
              <w:t>1.眼   科</w:t>
            </w:r>
            <w:r>
              <w:rPr>
                <w:rFonts w:ascii="??_GB2312" w:hAnsi="宋体" w:eastAsia="Times New Roman" w:cs="宋体"/>
                <w:kern w:val="0"/>
                <w:szCs w:val="21"/>
              </w:rPr>
              <w:br w:type="textWrapping"/>
            </w:r>
            <w:r>
              <w:rPr>
                <w:rFonts w:ascii="??_GB2312" w:hAnsi="宋体" w:eastAsia="Times New Roman" w:cs="宋体"/>
                <w:kern w:val="0"/>
                <w:szCs w:val="21"/>
              </w:rPr>
              <w:br w:type="textWrapping"/>
            </w:r>
            <w:r>
              <w:rPr>
                <w:rFonts w:ascii="??_GB2312" w:hAnsi="宋体" w:eastAsia="Times New Roman" w:cs="宋体"/>
                <w:kern w:val="0"/>
                <w:szCs w:val="21"/>
              </w:rPr>
              <w:br w:type="textWrapping"/>
            </w:r>
            <w:r>
              <w:rPr>
                <w:rFonts w:ascii="??_GB2312" w:hAnsi="宋体" w:eastAsia="Times New Roman" w:cs="宋体"/>
                <w:kern w:val="0"/>
                <w:szCs w:val="21"/>
              </w:rPr>
              <w:t>2.耳鼻喉科</w:t>
            </w:r>
            <w:r>
              <w:rPr>
                <w:rFonts w:ascii="??_GB2312" w:hAnsi="宋体" w:eastAsia="Times New Roman" w:cs="宋体"/>
                <w:kern w:val="0"/>
                <w:szCs w:val="21"/>
              </w:rPr>
              <w:br w:type="textWrapping"/>
            </w:r>
            <w:r>
              <w:rPr>
                <w:rFonts w:ascii="??_GB2312" w:hAnsi="宋体" w:eastAsia="Times New Roman" w:cs="宋体"/>
                <w:kern w:val="0"/>
                <w:szCs w:val="21"/>
              </w:rPr>
              <w:br w:type="textWrapping"/>
            </w:r>
            <w:r>
              <w:rPr>
                <w:rFonts w:ascii="??_GB2312" w:hAnsi="宋体" w:eastAsia="Times New Roman" w:cs="宋体"/>
                <w:kern w:val="0"/>
                <w:szCs w:val="21"/>
              </w:rPr>
              <w:br w:type="textWrapping"/>
            </w:r>
            <w:r>
              <w:rPr>
                <w:rFonts w:ascii="??_GB2312" w:hAnsi="宋体" w:eastAsia="Times New Roman" w:cs="宋体"/>
                <w:kern w:val="0"/>
                <w:szCs w:val="21"/>
              </w:rPr>
              <w:t>3.口腔科</w:t>
            </w:r>
          </w:p>
        </w:tc>
      </w:tr>
      <w:tr>
        <w:trPr>
          <w:trHeight w:val="405" w:hRule="atLeast"/>
          <w:jc w:val="center"/>
        </w:trPr>
        <w:tc>
          <w:tcPr>
            <w:tcW w:w="1247" w:type="dxa"/>
            <w:vMerge w:val="continue"/>
            <w:noWrap/>
            <w:vAlign w:val="center"/>
          </w:tcPr>
          <w:p>
            <w:pPr>
              <w:widowControl/>
              <w:jc w:val="left"/>
              <w:rPr>
                <w:rFonts w:ascii="??_GB2312" w:hAnsi="宋体" w:eastAsia="Times New Roman" w:cs="宋体"/>
                <w:kern w:val="0"/>
                <w:szCs w:val="21"/>
              </w:rPr>
            </w:pPr>
          </w:p>
        </w:tc>
        <w:tc>
          <w:tcPr>
            <w:tcW w:w="1080" w:type="dxa"/>
            <w:gridSpan w:val="2"/>
            <w:vMerge w:val="continue"/>
            <w:noWrap/>
            <w:vAlign w:val="center"/>
          </w:tcPr>
          <w:p>
            <w:pPr>
              <w:widowControl/>
              <w:jc w:val="left"/>
              <w:rPr>
                <w:rFonts w:ascii="??_GB2312" w:hAnsi="宋体" w:eastAsia="Times New Roman" w:cs="宋体"/>
                <w:kern w:val="0"/>
                <w:szCs w:val="21"/>
              </w:rPr>
            </w:pPr>
          </w:p>
        </w:tc>
        <w:tc>
          <w:tcPr>
            <w:tcW w:w="1100" w:type="dxa"/>
            <w:gridSpan w:val="5"/>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左</w:t>
            </w:r>
          </w:p>
        </w:tc>
        <w:tc>
          <w:tcPr>
            <w:tcW w:w="1119" w:type="dxa"/>
            <w:gridSpan w:val="5"/>
            <w:vMerge w:val="continue"/>
            <w:noWrap/>
            <w:vAlign w:val="center"/>
          </w:tcPr>
          <w:p>
            <w:pPr>
              <w:widowControl/>
              <w:jc w:val="left"/>
              <w:rPr>
                <w:rFonts w:ascii="??_GB2312" w:hAnsi="宋体" w:eastAsia="Times New Roman" w:cs="宋体"/>
                <w:kern w:val="0"/>
                <w:szCs w:val="21"/>
              </w:rPr>
            </w:pPr>
          </w:p>
        </w:tc>
        <w:tc>
          <w:tcPr>
            <w:tcW w:w="3261" w:type="dxa"/>
            <w:gridSpan w:val="7"/>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左      矫正度数：</w:t>
            </w:r>
          </w:p>
        </w:tc>
        <w:tc>
          <w:tcPr>
            <w:tcW w:w="1913" w:type="dxa"/>
            <w:vMerge w:val="continue"/>
            <w:noWrap/>
            <w:vAlign w:val="center"/>
          </w:tcPr>
          <w:p>
            <w:pPr>
              <w:widowControl/>
              <w:jc w:val="left"/>
              <w:rPr>
                <w:rFonts w:ascii="??_GB2312" w:hAnsi="宋体" w:eastAsia="Times New Roman" w:cs="宋体"/>
                <w:kern w:val="0"/>
                <w:szCs w:val="21"/>
              </w:rPr>
            </w:pPr>
          </w:p>
        </w:tc>
      </w:tr>
      <w:tr>
        <w:trPr>
          <w:trHeight w:val="585" w:hRule="atLeast"/>
          <w:jc w:val="center"/>
        </w:trPr>
        <w:tc>
          <w:tcPr>
            <w:tcW w:w="1247" w:type="dxa"/>
            <w:vMerge w:val="continue"/>
            <w:noWrap/>
            <w:vAlign w:val="center"/>
          </w:tcPr>
          <w:p>
            <w:pPr>
              <w:widowControl/>
              <w:jc w:val="left"/>
              <w:rPr>
                <w:rFonts w:ascii="??_GB2312" w:hAnsi="宋体" w:eastAsia="Times New Roman" w:cs="宋体"/>
                <w:kern w:val="0"/>
                <w:szCs w:val="21"/>
              </w:rPr>
            </w:pPr>
          </w:p>
        </w:tc>
        <w:tc>
          <w:tcPr>
            <w:tcW w:w="714" w:type="dxa"/>
            <w:vMerge w:val="restart"/>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其他眼病</w:t>
            </w:r>
          </w:p>
        </w:tc>
        <w:tc>
          <w:tcPr>
            <w:tcW w:w="1466" w:type="dxa"/>
            <w:gridSpan w:val="6"/>
            <w:vMerge w:val="restart"/>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　</w:t>
            </w:r>
          </w:p>
        </w:tc>
        <w:tc>
          <w:tcPr>
            <w:tcW w:w="1119" w:type="dxa"/>
            <w:gridSpan w:val="5"/>
            <w:vMerge w:val="restart"/>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色觉检查</w:t>
            </w:r>
          </w:p>
        </w:tc>
        <w:tc>
          <w:tcPr>
            <w:tcW w:w="3261" w:type="dxa"/>
            <w:gridSpan w:val="7"/>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彩色图案及编码：               正常□ 色弱□ 色盲□ 全色盲□</w:t>
            </w:r>
          </w:p>
        </w:tc>
        <w:tc>
          <w:tcPr>
            <w:tcW w:w="1913" w:type="dxa"/>
            <w:vMerge w:val="continue"/>
            <w:noWrap/>
            <w:vAlign w:val="center"/>
          </w:tcPr>
          <w:p>
            <w:pPr>
              <w:widowControl/>
              <w:jc w:val="left"/>
              <w:rPr>
                <w:rFonts w:ascii="??_GB2312" w:hAnsi="宋体" w:eastAsia="Times New Roman" w:cs="宋体"/>
                <w:kern w:val="0"/>
                <w:szCs w:val="21"/>
              </w:rPr>
            </w:pPr>
          </w:p>
        </w:tc>
      </w:tr>
      <w:tr>
        <w:trPr>
          <w:trHeight w:val="585" w:hRule="atLeast"/>
          <w:jc w:val="center"/>
        </w:trPr>
        <w:tc>
          <w:tcPr>
            <w:tcW w:w="1247" w:type="dxa"/>
            <w:vMerge w:val="continue"/>
            <w:noWrap/>
            <w:vAlign w:val="center"/>
          </w:tcPr>
          <w:p>
            <w:pPr>
              <w:widowControl/>
              <w:jc w:val="left"/>
              <w:rPr>
                <w:rFonts w:ascii="??_GB2312" w:hAnsi="宋体" w:eastAsia="Times New Roman" w:cs="宋体"/>
                <w:kern w:val="0"/>
                <w:szCs w:val="21"/>
              </w:rPr>
            </w:pPr>
          </w:p>
        </w:tc>
        <w:tc>
          <w:tcPr>
            <w:tcW w:w="714" w:type="dxa"/>
            <w:vMerge w:val="continue"/>
            <w:noWrap/>
            <w:vAlign w:val="center"/>
          </w:tcPr>
          <w:p>
            <w:pPr>
              <w:widowControl/>
              <w:jc w:val="left"/>
              <w:rPr>
                <w:rFonts w:ascii="??_GB2312" w:hAnsi="宋体" w:eastAsia="Times New Roman" w:cs="宋体"/>
                <w:kern w:val="0"/>
                <w:szCs w:val="21"/>
              </w:rPr>
            </w:pPr>
          </w:p>
        </w:tc>
        <w:tc>
          <w:tcPr>
            <w:tcW w:w="1466" w:type="dxa"/>
            <w:gridSpan w:val="6"/>
            <w:vMerge w:val="continue"/>
            <w:noWrap/>
            <w:vAlign w:val="center"/>
          </w:tcPr>
          <w:p>
            <w:pPr>
              <w:widowControl/>
              <w:jc w:val="left"/>
              <w:rPr>
                <w:rFonts w:ascii="??_GB2312" w:hAnsi="宋体" w:eastAsia="Times New Roman" w:cs="宋体"/>
                <w:kern w:val="0"/>
                <w:szCs w:val="21"/>
              </w:rPr>
            </w:pPr>
          </w:p>
        </w:tc>
        <w:tc>
          <w:tcPr>
            <w:tcW w:w="1119" w:type="dxa"/>
            <w:gridSpan w:val="5"/>
            <w:vMerge w:val="continue"/>
            <w:noWrap/>
            <w:vAlign w:val="center"/>
          </w:tcPr>
          <w:p>
            <w:pPr>
              <w:widowControl/>
              <w:jc w:val="left"/>
              <w:rPr>
                <w:rFonts w:ascii="??_GB2312" w:hAnsi="宋体" w:eastAsia="Times New Roman" w:cs="宋体"/>
                <w:kern w:val="0"/>
                <w:szCs w:val="21"/>
              </w:rPr>
            </w:pPr>
          </w:p>
        </w:tc>
        <w:tc>
          <w:tcPr>
            <w:tcW w:w="3261" w:type="dxa"/>
            <w:gridSpan w:val="7"/>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 xml:space="preserve">单颜色识别：                </w:t>
            </w:r>
          </w:p>
          <w:p>
            <w:pPr>
              <w:widowControl/>
              <w:jc w:val="left"/>
              <w:rPr>
                <w:rFonts w:ascii="??_GB2312" w:hAnsi="宋体" w:eastAsia="Times New Roman" w:cs="宋体"/>
                <w:kern w:val="0"/>
                <w:szCs w:val="21"/>
              </w:rPr>
            </w:pPr>
            <w:r>
              <w:rPr>
                <w:rFonts w:ascii="??_GB2312" w:hAnsi="宋体" w:eastAsia="Times New Roman" w:cs="宋体"/>
                <w:kern w:val="0"/>
                <w:szCs w:val="21"/>
              </w:rPr>
              <w:t xml:space="preserve"> 红□ 绿□ 紫□ 蓝□ 黄□</w:t>
            </w:r>
          </w:p>
        </w:tc>
        <w:tc>
          <w:tcPr>
            <w:tcW w:w="1913" w:type="dxa"/>
            <w:vMerge w:val="continue"/>
            <w:noWrap/>
            <w:vAlign w:val="center"/>
          </w:tcPr>
          <w:p>
            <w:pPr>
              <w:widowControl/>
              <w:jc w:val="left"/>
              <w:rPr>
                <w:rFonts w:ascii="??_GB2312" w:hAnsi="宋体" w:eastAsia="Times New Roman" w:cs="宋体"/>
                <w:kern w:val="0"/>
                <w:szCs w:val="21"/>
              </w:rPr>
            </w:pPr>
          </w:p>
        </w:tc>
      </w:tr>
      <w:tr>
        <w:trPr>
          <w:trHeight w:val="435" w:hRule="atLeast"/>
          <w:jc w:val="center"/>
        </w:trPr>
        <w:tc>
          <w:tcPr>
            <w:tcW w:w="1247" w:type="dxa"/>
            <w:vMerge w:val="restart"/>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耳鼻喉科</w:t>
            </w:r>
          </w:p>
        </w:tc>
        <w:tc>
          <w:tcPr>
            <w:tcW w:w="714" w:type="dxa"/>
            <w:vMerge w:val="restart"/>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听力</w:t>
            </w:r>
          </w:p>
        </w:tc>
        <w:tc>
          <w:tcPr>
            <w:tcW w:w="1466" w:type="dxa"/>
            <w:gridSpan w:val="6"/>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右     公尺</w:t>
            </w:r>
          </w:p>
        </w:tc>
        <w:tc>
          <w:tcPr>
            <w:tcW w:w="1119" w:type="dxa"/>
            <w:gridSpan w:val="5"/>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嗅觉</w:t>
            </w:r>
          </w:p>
        </w:tc>
        <w:tc>
          <w:tcPr>
            <w:tcW w:w="3261" w:type="dxa"/>
            <w:gridSpan w:val="7"/>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正常□ 迟钝□ 丧失□</w:t>
            </w:r>
          </w:p>
        </w:tc>
        <w:tc>
          <w:tcPr>
            <w:tcW w:w="1913" w:type="dxa"/>
            <w:vMerge w:val="continue"/>
            <w:noWrap/>
            <w:vAlign w:val="center"/>
          </w:tcPr>
          <w:p>
            <w:pPr>
              <w:widowControl/>
              <w:jc w:val="left"/>
              <w:rPr>
                <w:rFonts w:ascii="??_GB2312" w:hAnsi="宋体" w:eastAsia="Times New Roman" w:cs="宋体"/>
                <w:kern w:val="0"/>
                <w:szCs w:val="21"/>
              </w:rPr>
            </w:pPr>
          </w:p>
        </w:tc>
      </w:tr>
      <w:tr>
        <w:trPr>
          <w:trHeight w:val="401" w:hRule="atLeast"/>
          <w:jc w:val="center"/>
        </w:trPr>
        <w:tc>
          <w:tcPr>
            <w:tcW w:w="1247" w:type="dxa"/>
            <w:vMerge w:val="continue"/>
            <w:noWrap/>
            <w:vAlign w:val="center"/>
          </w:tcPr>
          <w:p>
            <w:pPr>
              <w:widowControl/>
              <w:jc w:val="left"/>
              <w:rPr>
                <w:rFonts w:ascii="??_GB2312" w:hAnsi="宋体" w:eastAsia="Times New Roman" w:cs="宋体"/>
                <w:kern w:val="0"/>
                <w:szCs w:val="21"/>
              </w:rPr>
            </w:pPr>
          </w:p>
        </w:tc>
        <w:tc>
          <w:tcPr>
            <w:tcW w:w="714" w:type="dxa"/>
            <w:vMerge w:val="continue"/>
            <w:noWrap/>
            <w:vAlign w:val="center"/>
          </w:tcPr>
          <w:p>
            <w:pPr>
              <w:widowControl/>
              <w:jc w:val="left"/>
              <w:rPr>
                <w:rFonts w:ascii="??_GB2312" w:hAnsi="宋体" w:eastAsia="Times New Roman" w:cs="宋体"/>
                <w:kern w:val="0"/>
                <w:szCs w:val="21"/>
              </w:rPr>
            </w:pPr>
          </w:p>
        </w:tc>
        <w:tc>
          <w:tcPr>
            <w:tcW w:w="1466" w:type="dxa"/>
            <w:gridSpan w:val="6"/>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左     公尺</w:t>
            </w:r>
          </w:p>
        </w:tc>
        <w:tc>
          <w:tcPr>
            <w:tcW w:w="1119" w:type="dxa"/>
            <w:gridSpan w:val="5"/>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耳鼻咽喉</w:t>
            </w:r>
          </w:p>
        </w:tc>
        <w:tc>
          <w:tcPr>
            <w:tcW w:w="3261" w:type="dxa"/>
            <w:gridSpan w:val="7"/>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正常□ 异常□</w:t>
            </w:r>
          </w:p>
        </w:tc>
        <w:tc>
          <w:tcPr>
            <w:tcW w:w="1913" w:type="dxa"/>
            <w:vMerge w:val="continue"/>
            <w:noWrap/>
            <w:vAlign w:val="center"/>
          </w:tcPr>
          <w:p>
            <w:pPr>
              <w:widowControl/>
              <w:jc w:val="left"/>
              <w:rPr>
                <w:rFonts w:ascii="??_GB2312" w:hAnsi="宋体" w:eastAsia="Times New Roman" w:cs="宋体"/>
                <w:kern w:val="0"/>
                <w:szCs w:val="21"/>
              </w:rPr>
            </w:pPr>
          </w:p>
        </w:tc>
      </w:tr>
      <w:tr>
        <w:trPr>
          <w:trHeight w:val="583" w:hRule="atLeast"/>
          <w:jc w:val="center"/>
        </w:trPr>
        <w:tc>
          <w:tcPr>
            <w:tcW w:w="1247" w:type="dxa"/>
            <w:vMerge w:val="continue"/>
            <w:noWrap/>
            <w:vAlign w:val="center"/>
          </w:tcPr>
          <w:p>
            <w:pPr>
              <w:widowControl/>
              <w:jc w:val="left"/>
              <w:rPr>
                <w:rFonts w:ascii="??_GB2312" w:hAnsi="宋体" w:eastAsia="Times New Roman" w:cs="宋体"/>
                <w:kern w:val="0"/>
                <w:szCs w:val="21"/>
              </w:rPr>
            </w:pPr>
          </w:p>
        </w:tc>
        <w:tc>
          <w:tcPr>
            <w:tcW w:w="1679" w:type="dxa"/>
            <w:gridSpan w:val="4"/>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耳鼻喉科异常</w:t>
            </w:r>
          </w:p>
        </w:tc>
        <w:tc>
          <w:tcPr>
            <w:tcW w:w="4881" w:type="dxa"/>
            <w:gridSpan w:val="15"/>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　</w:t>
            </w:r>
          </w:p>
        </w:tc>
        <w:tc>
          <w:tcPr>
            <w:tcW w:w="1913" w:type="dxa"/>
            <w:vMerge w:val="continue"/>
            <w:noWrap/>
            <w:vAlign w:val="center"/>
          </w:tcPr>
          <w:p>
            <w:pPr>
              <w:widowControl/>
              <w:jc w:val="left"/>
              <w:rPr>
                <w:rFonts w:ascii="??_GB2312" w:hAnsi="宋体" w:eastAsia="Times New Roman" w:cs="宋体"/>
                <w:kern w:val="0"/>
                <w:szCs w:val="21"/>
              </w:rPr>
            </w:pPr>
          </w:p>
        </w:tc>
      </w:tr>
      <w:tr>
        <w:trPr>
          <w:trHeight w:val="633" w:hRule="atLeast"/>
          <w:jc w:val="center"/>
        </w:trPr>
        <w:tc>
          <w:tcPr>
            <w:tcW w:w="1247" w:type="dxa"/>
            <w:vMerge w:val="restart"/>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口腔科</w:t>
            </w:r>
          </w:p>
        </w:tc>
        <w:tc>
          <w:tcPr>
            <w:tcW w:w="2520" w:type="dxa"/>
            <w:gridSpan w:val="9"/>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唇腭：正常□ 异常□</w:t>
            </w:r>
          </w:p>
        </w:tc>
        <w:tc>
          <w:tcPr>
            <w:tcW w:w="4040" w:type="dxa"/>
            <w:gridSpan w:val="10"/>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牙齿：正常□ 异常□</w:t>
            </w:r>
          </w:p>
        </w:tc>
        <w:tc>
          <w:tcPr>
            <w:tcW w:w="1913" w:type="dxa"/>
            <w:vMerge w:val="continue"/>
            <w:noWrap/>
            <w:vAlign w:val="center"/>
          </w:tcPr>
          <w:p>
            <w:pPr>
              <w:widowControl/>
              <w:jc w:val="left"/>
              <w:rPr>
                <w:rFonts w:ascii="??_GB2312" w:hAnsi="宋体" w:eastAsia="Times New Roman" w:cs="宋体"/>
                <w:kern w:val="0"/>
                <w:szCs w:val="21"/>
              </w:rPr>
            </w:pPr>
          </w:p>
        </w:tc>
      </w:tr>
      <w:tr>
        <w:trPr>
          <w:trHeight w:val="570" w:hRule="atLeast"/>
          <w:jc w:val="center"/>
        </w:trPr>
        <w:tc>
          <w:tcPr>
            <w:tcW w:w="1247" w:type="dxa"/>
            <w:vMerge w:val="continue"/>
            <w:noWrap/>
            <w:vAlign w:val="center"/>
          </w:tcPr>
          <w:p>
            <w:pPr>
              <w:widowControl/>
              <w:jc w:val="left"/>
              <w:rPr>
                <w:rFonts w:ascii="??_GB2312" w:hAnsi="宋体" w:eastAsia="Times New Roman" w:cs="宋体"/>
                <w:kern w:val="0"/>
                <w:szCs w:val="21"/>
              </w:rPr>
            </w:pPr>
          </w:p>
        </w:tc>
        <w:tc>
          <w:tcPr>
            <w:tcW w:w="2160" w:type="dxa"/>
            <w:gridSpan w:val="6"/>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口吃：否□ 是□</w:t>
            </w:r>
          </w:p>
        </w:tc>
        <w:tc>
          <w:tcPr>
            <w:tcW w:w="1260" w:type="dxa"/>
            <w:gridSpan w:val="7"/>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口腔异常</w:t>
            </w:r>
          </w:p>
        </w:tc>
        <w:tc>
          <w:tcPr>
            <w:tcW w:w="3140" w:type="dxa"/>
            <w:gridSpan w:val="6"/>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　</w:t>
            </w:r>
          </w:p>
        </w:tc>
        <w:tc>
          <w:tcPr>
            <w:tcW w:w="1913" w:type="dxa"/>
            <w:vMerge w:val="continue"/>
            <w:noWrap/>
            <w:vAlign w:val="center"/>
          </w:tcPr>
          <w:p>
            <w:pPr>
              <w:widowControl/>
              <w:jc w:val="left"/>
              <w:rPr>
                <w:rFonts w:ascii="??_GB2312" w:hAnsi="宋体" w:eastAsia="Times New Roman" w:cs="宋体"/>
                <w:kern w:val="0"/>
                <w:szCs w:val="21"/>
              </w:rPr>
            </w:pPr>
          </w:p>
        </w:tc>
      </w:tr>
      <w:tr>
        <w:trPr>
          <w:trHeight w:val="445" w:hRule="atLeast"/>
          <w:jc w:val="center"/>
        </w:trPr>
        <w:tc>
          <w:tcPr>
            <w:tcW w:w="1247" w:type="dxa"/>
            <w:vMerge w:val="restart"/>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外科</w:t>
            </w:r>
          </w:p>
        </w:tc>
        <w:tc>
          <w:tcPr>
            <w:tcW w:w="2180" w:type="dxa"/>
            <w:gridSpan w:val="7"/>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身高：     厘米</w:t>
            </w:r>
          </w:p>
        </w:tc>
        <w:tc>
          <w:tcPr>
            <w:tcW w:w="4380" w:type="dxa"/>
            <w:gridSpan w:val="12"/>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体重：     公斤</w:t>
            </w:r>
          </w:p>
        </w:tc>
        <w:tc>
          <w:tcPr>
            <w:tcW w:w="1913" w:type="dxa"/>
            <w:vMerge w:val="restart"/>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医师意见</w:t>
            </w:r>
            <w:r>
              <w:rPr>
                <w:rFonts w:ascii="??_GB2312" w:hAnsi="宋体" w:eastAsia="Times New Roman" w:cs="宋体"/>
                <w:kern w:val="0"/>
                <w:szCs w:val="21"/>
              </w:rPr>
              <w:br w:type="textWrapping"/>
            </w:r>
          </w:p>
          <w:p>
            <w:pPr>
              <w:widowControl/>
              <w:jc w:val="center"/>
              <w:rPr>
                <w:rFonts w:ascii="??_GB2312" w:hAnsi="宋体" w:eastAsia="Times New Roman" w:cs="宋体"/>
                <w:kern w:val="0"/>
                <w:szCs w:val="21"/>
              </w:rPr>
            </w:pPr>
            <w:r>
              <w:rPr>
                <w:rFonts w:ascii="??_GB2312" w:hAnsi="宋体" w:eastAsia="Times New Roman" w:cs="宋体"/>
                <w:kern w:val="0"/>
                <w:szCs w:val="21"/>
              </w:rPr>
              <w:br w:type="textWrapping"/>
            </w:r>
            <w:r>
              <w:rPr>
                <w:rFonts w:ascii="??_GB2312" w:hAnsi="宋体" w:eastAsia="Times New Roman" w:cs="宋体"/>
                <w:kern w:val="0"/>
                <w:szCs w:val="21"/>
              </w:rPr>
              <w:t>签字</w:t>
            </w:r>
          </w:p>
        </w:tc>
      </w:tr>
      <w:tr>
        <w:trPr>
          <w:trHeight w:val="557" w:hRule="atLeast"/>
          <w:jc w:val="center"/>
        </w:trPr>
        <w:tc>
          <w:tcPr>
            <w:tcW w:w="1247" w:type="dxa"/>
            <w:vMerge w:val="continue"/>
            <w:noWrap/>
            <w:vAlign w:val="center"/>
          </w:tcPr>
          <w:p>
            <w:pPr>
              <w:widowControl/>
              <w:jc w:val="left"/>
              <w:rPr>
                <w:rFonts w:ascii="??_GB2312" w:hAnsi="宋体" w:eastAsia="Times New Roman" w:cs="宋体"/>
                <w:kern w:val="0"/>
                <w:szCs w:val="21"/>
              </w:rPr>
            </w:pPr>
          </w:p>
        </w:tc>
        <w:tc>
          <w:tcPr>
            <w:tcW w:w="2520" w:type="dxa"/>
            <w:gridSpan w:val="9"/>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皮肤: 正常□  异常□</w:t>
            </w:r>
          </w:p>
        </w:tc>
        <w:tc>
          <w:tcPr>
            <w:tcW w:w="4040" w:type="dxa"/>
            <w:gridSpan w:val="10"/>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面部： 正常□  异常□</w:t>
            </w:r>
          </w:p>
        </w:tc>
        <w:tc>
          <w:tcPr>
            <w:tcW w:w="1913" w:type="dxa"/>
            <w:vMerge w:val="continue"/>
            <w:noWrap/>
            <w:vAlign w:val="center"/>
          </w:tcPr>
          <w:p>
            <w:pPr>
              <w:widowControl/>
              <w:jc w:val="left"/>
              <w:rPr>
                <w:rFonts w:ascii="??_GB2312" w:hAnsi="宋体" w:eastAsia="Times New Roman" w:cs="宋体"/>
                <w:kern w:val="0"/>
                <w:szCs w:val="21"/>
              </w:rPr>
            </w:pPr>
          </w:p>
        </w:tc>
      </w:tr>
      <w:tr>
        <w:trPr>
          <w:trHeight w:val="598" w:hRule="atLeast"/>
          <w:jc w:val="center"/>
        </w:trPr>
        <w:tc>
          <w:tcPr>
            <w:tcW w:w="1247" w:type="dxa"/>
            <w:vMerge w:val="continue"/>
            <w:noWrap/>
            <w:vAlign w:val="center"/>
          </w:tcPr>
          <w:p>
            <w:pPr>
              <w:widowControl/>
              <w:jc w:val="left"/>
              <w:rPr>
                <w:rFonts w:ascii="??_GB2312" w:hAnsi="宋体" w:eastAsia="Times New Roman" w:cs="宋体"/>
                <w:kern w:val="0"/>
                <w:szCs w:val="21"/>
              </w:rPr>
            </w:pPr>
          </w:p>
        </w:tc>
        <w:tc>
          <w:tcPr>
            <w:tcW w:w="2520" w:type="dxa"/>
            <w:gridSpan w:val="9"/>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颈部：正常□  异常□</w:t>
            </w:r>
          </w:p>
        </w:tc>
        <w:tc>
          <w:tcPr>
            <w:tcW w:w="4040" w:type="dxa"/>
            <w:gridSpan w:val="10"/>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脊柱： 正常□  异常□</w:t>
            </w:r>
          </w:p>
        </w:tc>
        <w:tc>
          <w:tcPr>
            <w:tcW w:w="1913" w:type="dxa"/>
            <w:vMerge w:val="continue"/>
            <w:noWrap/>
            <w:vAlign w:val="center"/>
          </w:tcPr>
          <w:p>
            <w:pPr>
              <w:widowControl/>
              <w:jc w:val="left"/>
              <w:rPr>
                <w:rFonts w:ascii="??_GB2312" w:hAnsi="宋体" w:eastAsia="Times New Roman" w:cs="宋体"/>
                <w:kern w:val="0"/>
                <w:szCs w:val="21"/>
              </w:rPr>
            </w:pPr>
          </w:p>
        </w:tc>
      </w:tr>
      <w:tr>
        <w:trPr>
          <w:trHeight w:val="572" w:hRule="atLeast"/>
          <w:jc w:val="center"/>
        </w:trPr>
        <w:tc>
          <w:tcPr>
            <w:tcW w:w="1247" w:type="dxa"/>
            <w:vMerge w:val="continue"/>
            <w:noWrap/>
            <w:vAlign w:val="center"/>
          </w:tcPr>
          <w:p>
            <w:pPr>
              <w:widowControl/>
              <w:jc w:val="left"/>
              <w:rPr>
                <w:rFonts w:ascii="??_GB2312" w:hAnsi="宋体" w:eastAsia="Times New Roman" w:cs="宋体"/>
                <w:kern w:val="0"/>
                <w:szCs w:val="21"/>
              </w:rPr>
            </w:pPr>
          </w:p>
        </w:tc>
        <w:tc>
          <w:tcPr>
            <w:tcW w:w="2520" w:type="dxa"/>
            <w:gridSpan w:val="9"/>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四肢：正常□  异常□</w:t>
            </w:r>
          </w:p>
        </w:tc>
        <w:tc>
          <w:tcPr>
            <w:tcW w:w="4040" w:type="dxa"/>
            <w:gridSpan w:val="10"/>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关节： 正常□  异常□</w:t>
            </w:r>
          </w:p>
        </w:tc>
        <w:tc>
          <w:tcPr>
            <w:tcW w:w="1913" w:type="dxa"/>
            <w:vMerge w:val="continue"/>
            <w:noWrap/>
            <w:vAlign w:val="center"/>
          </w:tcPr>
          <w:p>
            <w:pPr>
              <w:widowControl/>
              <w:jc w:val="left"/>
              <w:rPr>
                <w:rFonts w:ascii="??_GB2312" w:hAnsi="宋体" w:eastAsia="Times New Roman" w:cs="宋体"/>
                <w:kern w:val="0"/>
                <w:szCs w:val="21"/>
              </w:rPr>
            </w:pPr>
          </w:p>
        </w:tc>
      </w:tr>
      <w:tr>
        <w:trPr>
          <w:trHeight w:val="518" w:hRule="atLeast"/>
          <w:jc w:val="center"/>
        </w:trPr>
        <w:tc>
          <w:tcPr>
            <w:tcW w:w="1247" w:type="dxa"/>
            <w:vMerge w:val="continue"/>
            <w:noWrap/>
            <w:vAlign w:val="center"/>
          </w:tcPr>
          <w:p>
            <w:pPr>
              <w:widowControl/>
              <w:jc w:val="left"/>
              <w:rPr>
                <w:rFonts w:ascii="??_GB2312" w:hAnsi="宋体" w:eastAsia="Times New Roman" w:cs="宋体"/>
                <w:kern w:val="0"/>
                <w:szCs w:val="21"/>
              </w:rPr>
            </w:pPr>
          </w:p>
        </w:tc>
        <w:tc>
          <w:tcPr>
            <w:tcW w:w="1440" w:type="dxa"/>
            <w:gridSpan w:val="3"/>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外科异常</w:t>
            </w:r>
          </w:p>
        </w:tc>
        <w:tc>
          <w:tcPr>
            <w:tcW w:w="5120" w:type="dxa"/>
            <w:gridSpan w:val="16"/>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　</w:t>
            </w:r>
          </w:p>
        </w:tc>
        <w:tc>
          <w:tcPr>
            <w:tcW w:w="1913" w:type="dxa"/>
            <w:vMerge w:val="continue"/>
            <w:noWrap/>
            <w:vAlign w:val="center"/>
          </w:tcPr>
          <w:p>
            <w:pPr>
              <w:widowControl/>
              <w:jc w:val="left"/>
              <w:rPr>
                <w:rFonts w:ascii="??_GB2312" w:hAnsi="宋体" w:eastAsia="Times New Roman" w:cs="宋体"/>
                <w:kern w:val="0"/>
                <w:szCs w:val="21"/>
              </w:rPr>
            </w:pPr>
          </w:p>
        </w:tc>
      </w:tr>
      <w:tr>
        <w:trPr>
          <w:trHeight w:val="820" w:hRule="atLeast"/>
          <w:jc w:val="center"/>
        </w:trPr>
        <w:tc>
          <w:tcPr>
            <w:tcW w:w="1247" w:type="dxa"/>
            <w:vMerge w:val="restart"/>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内科</w:t>
            </w:r>
          </w:p>
        </w:tc>
        <w:tc>
          <w:tcPr>
            <w:tcW w:w="1440" w:type="dxa"/>
            <w:gridSpan w:val="3"/>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血压</w:t>
            </w:r>
          </w:p>
        </w:tc>
        <w:tc>
          <w:tcPr>
            <w:tcW w:w="5120" w:type="dxa"/>
            <w:gridSpan w:val="16"/>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收缩压：       kpa</w:t>
            </w:r>
          </w:p>
          <w:p>
            <w:pPr>
              <w:jc w:val="left"/>
              <w:rPr>
                <w:rFonts w:ascii="??_GB2312" w:hAnsi="宋体" w:eastAsia="Times New Roman" w:cs="宋体"/>
                <w:kern w:val="0"/>
                <w:szCs w:val="21"/>
              </w:rPr>
            </w:pPr>
            <w:r>
              <w:rPr>
                <w:rFonts w:ascii="??_GB2312" w:hAnsi="宋体" w:eastAsia="Times New Roman" w:cs="宋体"/>
                <w:kern w:val="0"/>
                <w:szCs w:val="21"/>
              </w:rPr>
              <w:t>舒张压：       kpa</w:t>
            </w:r>
          </w:p>
        </w:tc>
        <w:tc>
          <w:tcPr>
            <w:tcW w:w="1913" w:type="dxa"/>
            <w:vMerge w:val="restart"/>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医 师 意 见</w:t>
            </w:r>
            <w:r>
              <w:rPr>
                <w:rFonts w:ascii="??_GB2312" w:hAnsi="宋体" w:eastAsia="Times New Roman" w:cs="宋体"/>
                <w:kern w:val="0"/>
                <w:szCs w:val="21"/>
              </w:rPr>
              <w:br w:type="textWrapping"/>
            </w:r>
            <w:r>
              <w:rPr>
                <w:rFonts w:ascii="??_GB2312" w:hAnsi="宋体" w:eastAsia="Times New Roman" w:cs="宋体"/>
                <w:kern w:val="0"/>
                <w:szCs w:val="21"/>
              </w:rPr>
              <w:br w:type="textWrapping"/>
            </w:r>
            <w:r>
              <w:rPr>
                <w:rFonts w:ascii="??_GB2312" w:hAnsi="宋体" w:eastAsia="Times New Roman" w:cs="宋体"/>
                <w:kern w:val="0"/>
                <w:szCs w:val="21"/>
              </w:rPr>
              <w:br w:type="textWrapping"/>
            </w:r>
            <w:r>
              <w:rPr>
                <w:rFonts w:ascii="??_GB2312" w:hAnsi="宋体" w:eastAsia="Times New Roman" w:cs="宋体"/>
                <w:kern w:val="0"/>
                <w:szCs w:val="21"/>
              </w:rPr>
              <w:br w:type="textWrapping"/>
            </w:r>
            <w:r>
              <w:rPr>
                <w:rFonts w:ascii="??_GB2312" w:hAnsi="宋体" w:eastAsia="Times New Roman" w:cs="宋体"/>
                <w:kern w:val="0"/>
                <w:szCs w:val="21"/>
              </w:rPr>
              <w:br w:type="textWrapping"/>
            </w:r>
            <w:r>
              <w:rPr>
                <w:rFonts w:ascii="??_GB2312" w:hAnsi="宋体" w:eastAsia="Times New Roman" w:cs="宋体"/>
                <w:kern w:val="0"/>
                <w:szCs w:val="21"/>
              </w:rPr>
              <w:t>签字</w:t>
            </w:r>
          </w:p>
        </w:tc>
      </w:tr>
      <w:tr>
        <w:trPr>
          <w:trHeight w:val="567" w:hRule="atLeast"/>
          <w:jc w:val="center"/>
        </w:trPr>
        <w:tc>
          <w:tcPr>
            <w:tcW w:w="1247" w:type="dxa"/>
            <w:vMerge w:val="continue"/>
            <w:noWrap/>
            <w:vAlign w:val="center"/>
          </w:tcPr>
          <w:p>
            <w:pPr>
              <w:widowControl/>
              <w:jc w:val="left"/>
              <w:rPr>
                <w:rFonts w:ascii="??_GB2312" w:hAnsi="宋体" w:eastAsia="Times New Roman" w:cs="宋体"/>
                <w:kern w:val="0"/>
                <w:szCs w:val="21"/>
              </w:rPr>
            </w:pPr>
          </w:p>
        </w:tc>
        <w:tc>
          <w:tcPr>
            <w:tcW w:w="1440" w:type="dxa"/>
            <w:gridSpan w:val="3"/>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发育情况</w:t>
            </w:r>
          </w:p>
        </w:tc>
        <w:tc>
          <w:tcPr>
            <w:tcW w:w="5120" w:type="dxa"/>
            <w:gridSpan w:val="16"/>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良好□  差□</w:t>
            </w:r>
          </w:p>
        </w:tc>
        <w:tc>
          <w:tcPr>
            <w:tcW w:w="1913" w:type="dxa"/>
            <w:vMerge w:val="continue"/>
            <w:noWrap/>
            <w:vAlign w:val="center"/>
          </w:tcPr>
          <w:p>
            <w:pPr>
              <w:widowControl/>
              <w:jc w:val="left"/>
              <w:rPr>
                <w:rFonts w:ascii="??_GB2312" w:hAnsi="宋体" w:eastAsia="Times New Roman" w:cs="宋体"/>
                <w:kern w:val="0"/>
                <w:szCs w:val="21"/>
              </w:rPr>
            </w:pPr>
          </w:p>
        </w:tc>
      </w:tr>
      <w:tr>
        <w:trPr>
          <w:trHeight w:val="547" w:hRule="atLeast"/>
          <w:jc w:val="center"/>
        </w:trPr>
        <w:tc>
          <w:tcPr>
            <w:tcW w:w="1247" w:type="dxa"/>
            <w:vMerge w:val="continue"/>
            <w:noWrap/>
            <w:vAlign w:val="center"/>
          </w:tcPr>
          <w:p>
            <w:pPr>
              <w:widowControl/>
              <w:jc w:val="left"/>
              <w:rPr>
                <w:rFonts w:ascii="??_GB2312" w:hAnsi="宋体" w:eastAsia="Times New Roman" w:cs="宋体"/>
                <w:kern w:val="0"/>
                <w:szCs w:val="21"/>
              </w:rPr>
            </w:pPr>
          </w:p>
        </w:tc>
        <w:tc>
          <w:tcPr>
            <w:tcW w:w="1440" w:type="dxa"/>
            <w:gridSpan w:val="3"/>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神经系统</w:t>
            </w:r>
          </w:p>
        </w:tc>
        <w:tc>
          <w:tcPr>
            <w:tcW w:w="5120" w:type="dxa"/>
            <w:gridSpan w:val="16"/>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正常□  异常□</w:t>
            </w:r>
          </w:p>
        </w:tc>
        <w:tc>
          <w:tcPr>
            <w:tcW w:w="1913" w:type="dxa"/>
            <w:vMerge w:val="continue"/>
            <w:noWrap/>
            <w:vAlign w:val="center"/>
          </w:tcPr>
          <w:p>
            <w:pPr>
              <w:widowControl/>
              <w:jc w:val="left"/>
              <w:rPr>
                <w:rFonts w:ascii="??_GB2312" w:hAnsi="宋体" w:eastAsia="Times New Roman" w:cs="宋体"/>
                <w:kern w:val="0"/>
                <w:szCs w:val="21"/>
              </w:rPr>
            </w:pPr>
          </w:p>
        </w:tc>
      </w:tr>
      <w:tr>
        <w:trPr>
          <w:trHeight w:val="455" w:hRule="atLeast"/>
          <w:jc w:val="center"/>
        </w:trPr>
        <w:tc>
          <w:tcPr>
            <w:tcW w:w="1247" w:type="dxa"/>
            <w:vMerge w:val="continue"/>
            <w:noWrap/>
            <w:vAlign w:val="center"/>
          </w:tcPr>
          <w:p>
            <w:pPr>
              <w:widowControl/>
              <w:jc w:val="left"/>
              <w:rPr>
                <w:rFonts w:ascii="??_GB2312" w:hAnsi="宋体" w:eastAsia="Times New Roman" w:cs="宋体"/>
                <w:kern w:val="0"/>
                <w:szCs w:val="21"/>
              </w:rPr>
            </w:pPr>
          </w:p>
        </w:tc>
        <w:tc>
          <w:tcPr>
            <w:tcW w:w="1440" w:type="dxa"/>
            <w:gridSpan w:val="3"/>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呼吸系统</w:t>
            </w:r>
          </w:p>
        </w:tc>
        <w:tc>
          <w:tcPr>
            <w:tcW w:w="5120" w:type="dxa"/>
            <w:gridSpan w:val="16"/>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正常□  异常□　</w:t>
            </w:r>
          </w:p>
        </w:tc>
        <w:tc>
          <w:tcPr>
            <w:tcW w:w="1913" w:type="dxa"/>
            <w:vMerge w:val="continue"/>
            <w:noWrap/>
            <w:vAlign w:val="center"/>
          </w:tcPr>
          <w:p>
            <w:pPr>
              <w:widowControl/>
              <w:jc w:val="left"/>
              <w:rPr>
                <w:rFonts w:ascii="??_GB2312" w:hAnsi="宋体" w:eastAsia="Times New Roman" w:cs="宋体"/>
                <w:kern w:val="0"/>
                <w:szCs w:val="21"/>
              </w:rPr>
            </w:pPr>
          </w:p>
        </w:tc>
      </w:tr>
      <w:tr>
        <w:trPr>
          <w:trHeight w:val="460" w:hRule="atLeast"/>
          <w:jc w:val="center"/>
        </w:trPr>
        <w:tc>
          <w:tcPr>
            <w:tcW w:w="1247" w:type="dxa"/>
            <w:vMerge w:val="continue"/>
            <w:noWrap/>
            <w:vAlign w:val="center"/>
          </w:tcPr>
          <w:p>
            <w:pPr>
              <w:widowControl/>
              <w:jc w:val="left"/>
              <w:rPr>
                <w:rFonts w:ascii="??_GB2312" w:hAnsi="宋体" w:eastAsia="Times New Roman" w:cs="宋体"/>
                <w:kern w:val="0"/>
                <w:szCs w:val="21"/>
              </w:rPr>
            </w:pPr>
          </w:p>
        </w:tc>
        <w:tc>
          <w:tcPr>
            <w:tcW w:w="1440" w:type="dxa"/>
            <w:gridSpan w:val="3"/>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心脏及血管</w:t>
            </w:r>
          </w:p>
        </w:tc>
        <w:tc>
          <w:tcPr>
            <w:tcW w:w="5120" w:type="dxa"/>
            <w:gridSpan w:val="16"/>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正常□  异常□　</w:t>
            </w:r>
          </w:p>
        </w:tc>
        <w:tc>
          <w:tcPr>
            <w:tcW w:w="1913" w:type="dxa"/>
            <w:vMerge w:val="continue"/>
            <w:noWrap/>
            <w:vAlign w:val="center"/>
          </w:tcPr>
          <w:p>
            <w:pPr>
              <w:widowControl/>
              <w:jc w:val="left"/>
              <w:rPr>
                <w:rFonts w:ascii="??_GB2312" w:hAnsi="宋体" w:eastAsia="Times New Roman" w:cs="宋体"/>
                <w:kern w:val="0"/>
                <w:szCs w:val="21"/>
              </w:rPr>
            </w:pPr>
          </w:p>
        </w:tc>
      </w:tr>
      <w:tr>
        <w:trPr>
          <w:trHeight w:val="405" w:hRule="atLeast"/>
          <w:jc w:val="center"/>
        </w:trPr>
        <w:tc>
          <w:tcPr>
            <w:tcW w:w="1247" w:type="dxa"/>
            <w:vMerge w:val="continue"/>
            <w:noWrap/>
            <w:vAlign w:val="center"/>
          </w:tcPr>
          <w:p>
            <w:pPr>
              <w:widowControl/>
              <w:jc w:val="left"/>
              <w:rPr>
                <w:rFonts w:ascii="??_GB2312" w:hAnsi="宋体" w:eastAsia="Times New Roman" w:cs="宋体"/>
                <w:kern w:val="0"/>
                <w:szCs w:val="21"/>
              </w:rPr>
            </w:pPr>
          </w:p>
        </w:tc>
        <w:tc>
          <w:tcPr>
            <w:tcW w:w="1440" w:type="dxa"/>
            <w:gridSpan w:val="3"/>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肝</w:t>
            </w:r>
          </w:p>
        </w:tc>
        <w:tc>
          <w:tcPr>
            <w:tcW w:w="5120" w:type="dxa"/>
            <w:gridSpan w:val="16"/>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正常□  异常□　</w:t>
            </w:r>
          </w:p>
        </w:tc>
        <w:tc>
          <w:tcPr>
            <w:tcW w:w="1913" w:type="dxa"/>
            <w:vMerge w:val="continue"/>
            <w:noWrap/>
            <w:vAlign w:val="center"/>
          </w:tcPr>
          <w:p>
            <w:pPr>
              <w:widowControl/>
              <w:jc w:val="left"/>
              <w:rPr>
                <w:rFonts w:ascii="??_GB2312" w:hAnsi="宋体" w:eastAsia="Times New Roman" w:cs="宋体"/>
                <w:kern w:val="0"/>
                <w:szCs w:val="21"/>
              </w:rPr>
            </w:pPr>
          </w:p>
        </w:tc>
      </w:tr>
      <w:tr>
        <w:trPr>
          <w:trHeight w:val="405" w:hRule="atLeast"/>
          <w:jc w:val="center"/>
        </w:trPr>
        <w:tc>
          <w:tcPr>
            <w:tcW w:w="1247" w:type="dxa"/>
            <w:vMerge w:val="continue"/>
            <w:noWrap/>
            <w:vAlign w:val="center"/>
          </w:tcPr>
          <w:p>
            <w:pPr>
              <w:widowControl/>
              <w:jc w:val="left"/>
              <w:rPr>
                <w:rFonts w:ascii="??_GB2312" w:hAnsi="宋体" w:eastAsia="Times New Roman" w:cs="宋体"/>
                <w:kern w:val="0"/>
                <w:szCs w:val="21"/>
              </w:rPr>
            </w:pPr>
          </w:p>
        </w:tc>
        <w:tc>
          <w:tcPr>
            <w:tcW w:w="1440" w:type="dxa"/>
            <w:gridSpan w:val="3"/>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脾</w:t>
            </w:r>
          </w:p>
        </w:tc>
        <w:tc>
          <w:tcPr>
            <w:tcW w:w="5120" w:type="dxa"/>
            <w:gridSpan w:val="16"/>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正常□  异常□　</w:t>
            </w:r>
          </w:p>
        </w:tc>
        <w:tc>
          <w:tcPr>
            <w:tcW w:w="1913" w:type="dxa"/>
            <w:vMerge w:val="continue"/>
            <w:noWrap/>
            <w:vAlign w:val="center"/>
          </w:tcPr>
          <w:p>
            <w:pPr>
              <w:widowControl/>
              <w:jc w:val="left"/>
              <w:rPr>
                <w:rFonts w:ascii="??_GB2312" w:hAnsi="宋体" w:eastAsia="Times New Roman" w:cs="宋体"/>
                <w:kern w:val="0"/>
                <w:szCs w:val="21"/>
              </w:rPr>
            </w:pPr>
          </w:p>
        </w:tc>
      </w:tr>
      <w:tr>
        <w:trPr>
          <w:trHeight w:val="474" w:hRule="atLeast"/>
          <w:jc w:val="center"/>
        </w:trPr>
        <w:tc>
          <w:tcPr>
            <w:tcW w:w="1247" w:type="dxa"/>
            <w:vMerge w:val="continue"/>
            <w:noWrap/>
            <w:vAlign w:val="center"/>
          </w:tcPr>
          <w:p>
            <w:pPr>
              <w:widowControl/>
              <w:jc w:val="left"/>
              <w:rPr>
                <w:rFonts w:ascii="??_GB2312" w:hAnsi="宋体" w:eastAsia="Times New Roman" w:cs="宋体"/>
                <w:kern w:val="0"/>
                <w:szCs w:val="21"/>
              </w:rPr>
            </w:pPr>
          </w:p>
        </w:tc>
        <w:tc>
          <w:tcPr>
            <w:tcW w:w="1440" w:type="dxa"/>
            <w:gridSpan w:val="3"/>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胸部透视</w:t>
            </w:r>
          </w:p>
        </w:tc>
        <w:tc>
          <w:tcPr>
            <w:tcW w:w="1859" w:type="dxa"/>
            <w:gridSpan w:val="9"/>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正常□  异常□</w:t>
            </w:r>
          </w:p>
        </w:tc>
        <w:tc>
          <w:tcPr>
            <w:tcW w:w="1201" w:type="dxa"/>
            <w:gridSpan w:val="4"/>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胸透异常</w:t>
            </w:r>
          </w:p>
        </w:tc>
        <w:tc>
          <w:tcPr>
            <w:tcW w:w="2060" w:type="dxa"/>
            <w:gridSpan w:val="3"/>
            <w:noWrap/>
            <w:vAlign w:val="center"/>
          </w:tcPr>
          <w:p>
            <w:pPr>
              <w:widowControl/>
              <w:jc w:val="left"/>
              <w:rPr>
                <w:rFonts w:ascii="??_GB2312" w:hAnsi="宋体" w:eastAsia="Times New Roman" w:cs="宋体"/>
                <w:kern w:val="0"/>
                <w:szCs w:val="21"/>
              </w:rPr>
            </w:pPr>
          </w:p>
        </w:tc>
        <w:tc>
          <w:tcPr>
            <w:tcW w:w="1913" w:type="dxa"/>
            <w:vMerge w:val="continue"/>
            <w:noWrap/>
            <w:vAlign w:val="center"/>
          </w:tcPr>
          <w:p>
            <w:pPr>
              <w:widowControl/>
              <w:jc w:val="left"/>
              <w:rPr>
                <w:rFonts w:ascii="??_GB2312" w:hAnsi="宋体" w:eastAsia="Times New Roman" w:cs="宋体"/>
                <w:kern w:val="0"/>
                <w:szCs w:val="21"/>
              </w:rPr>
            </w:pPr>
          </w:p>
        </w:tc>
      </w:tr>
      <w:tr>
        <w:trPr>
          <w:trHeight w:val="452" w:hRule="atLeast"/>
          <w:jc w:val="center"/>
        </w:trPr>
        <w:tc>
          <w:tcPr>
            <w:tcW w:w="1247" w:type="dxa"/>
            <w:vMerge w:val="continue"/>
            <w:noWrap/>
            <w:vAlign w:val="center"/>
          </w:tcPr>
          <w:p>
            <w:pPr>
              <w:widowControl/>
              <w:jc w:val="left"/>
              <w:rPr>
                <w:rFonts w:ascii="??_GB2312" w:hAnsi="宋体" w:eastAsia="Times New Roman" w:cs="宋体"/>
                <w:kern w:val="0"/>
                <w:szCs w:val="21"/>
              </w:rPr>
            </w:pPr>
          </w:p>
        </w:tc>
        <w:tc>
          <w:tcPr>
            <w:tcW w:w="1440" w:type="dxa"/>
            <w:gridSpan w:val="3"/>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内科异常</w:t>
            </w:r>
          </w:p>
        </w:tc>
        <w:tc>
          <w:tcPr>
            <w:tcW w:w="5120" w:type="dxa"/>
            <w:gridSpan w:val="16"/>
            <w:noWrap/>
            <w:vAlign w:val="center"/>
          </w:tcPr>
          <w:p>
            <w:pPr>
              <w:widowControl/>
              <w:jc w:val="left"/>
              <w:rPr>
                <w:rFonts w:ascii="??_GB2312" w:hAnsi="宋体" w:eastAsia="Times New Roman" w:cs="宋体"/>
                <w:kern w:val="0"/>
                <w:szCs w:val="21"/>
              </w:rPr>
            </w:pPr>
          </w:p>
        </w:tc>
        <w:tc>
          <w:tcPr>
            <w:tcW w:w="1913" w:type="dxa"/>
            <w:vMerge w:val="continue"/>
            <w:noWrap/>
            <w:vAlign w:val="center"/>
          </w:tcPr>
          <w:p>
            <w:pPr>
              <w:widowControl/>
              <w:jc w:val="left"/>
              <w:rPr>
                <w:rFonts w:ascii="??_GB2312" w:hAnsi="宋体" w:eastAsia="Times New Roman" w:cs="宋体"/>
                <w:kern w:val="0"/>
                <w:szCs w:val="21"/>
              </w:rPr>
            </w:pPr>
          </w:p>
        </w:tc>
      </w:tr>
      <w:tr>
        <w:trPr>
          <w:trHeight w:val="602" w:hRule="atLeast"/>
          <w:jc w:val="center"/>
        </w:trPr>
        <w:tc>
          <w:tcPr>
            <w:tcW w:w="1247" w:type="dxa"/>
            <w:vMerge w:val="restart"/>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肝功能</w:t>
            </w:r>
          </w:p>
        </w:tc>
        <w:tc>
          <w:tcPr>
            <w:tcW w:w="6560" w:type="dxa"/>
            <w:gridSpan w:val="19"/>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转氨酶：正常□  异常□</w:t>
            </w:r>
          </w:p>
        </w:tc>
        <w:tc>
          <w:tcPr>
            <w:tcW w:w="1913" w:type="dxa"/>
            <w:vMerge w:val="restart"/>
            <w:noWrap/>
            <w:vAlign w:val="center"/>
          </w:tcPr>
          <w:p>
            <w:pPr>
              <w:widowControl/>
              <w:jc w:val="center"/>
              <w:rPr>
                <w:rFonts w:ascii="??_GB2312" w:hAnsi="宋体" w:eastAsia="Times New Roman" w:cs="宋体"/>
                <w:kern w:val="0"/>
                <w:szCs w:val="21"/>
              </w:rPr>
            </w:pPr>
          </w:p>
          <w:p>
            <w:pPr>
              <w:widowControl/>
              <w:jc w:val="center"/>
              <w:rPr>
                <w:rFonts w:ascii="??_GB2312" w:hAnsi="宋体" w:eastAsia="Times New Roman" w:cs="宋体"/>
                <w:kern w:val="0"/>
                <w:szCs w:val="21"/>
              </w:rPr>
            </w:pPr>
            <w:r>
              <w:rPr>
                <w:rFonts w:ascii="??_GB2312" w:hAnsi="宋体" w:eastAsia="Times New Roman" w:cs="宋体"/>
                <w:kern w:val="0"/>
                <w:szCs w:val="21"/>
              </w:rPr>
              <w:t>医 师 意 见</w:t>
            </w:r>
            <w:r>
              <w:rPr>
                <w:rFonts w:ascii="??_GB2312" w:hAnsi="宋体" w:eastAsia="Times New Roman" w:cs="宋体"/>
                <w:kern w:val="0"/>
                <w:szCs w:val="21"/>
              </w:rPr>
              <w:br w:type="textWrapping"/>
            </w:r>
            <w:r>
              <w:rPr>
                <w:rFonts w:ascii="??_GB2312" w:hAnsi="宋体" w:eastAsia="Times New Roman" w:cs="宋体"/>
                <w:kern w:val="0"/>
                <w:szCs w:val="21"/>
              </w:rPr>
              <w:br w:type="textWrapping"/>
            </w:r>
          </w:p>
          <w:p>
            <w:pPr>
              <w:widowControl/>
              <w:rPr>
                <w:rFonts w:ascii="??_GB2312" w:hAnsi="宋体" w:eastAsia="Times New Roman" w:cs="宋体"/>
                <w:kern w:val="0"/>
                <w:szCs w:val="21"/>
              </w:rPr>
            </w:pPr>
            <w:r>
              <w:rPr>
                <w:rFonts w:ascii="??_GB2312" w:hAnsi="宋体" w:eastAsia="Times New Roman" w:cs="宋体"/>
                <w:kern w:val="0"/>
                <w:szCs w:val="21"/>
              </w:rPr>
              <w:t>签字</w:t>
            </w:r>
          </w:p>
          <w:p>
            <w:pPr>
              <w:widowControl/>
              <w:rPr>
                <w:rFonts w:ascii="??_GB2312" w:hAnsi="宋体" w:eastAsia="Times New Roman" w:cs="宋体"/>
                <w:kern w:val="0"/>
                <w:szCs w:val="21"/>
              </w:rPr>
            </w:pPr>
          </w:p>
        </w:tc>
      </w:tr>
      <w:tr>
        <w:trPr>
          <w:trHeight w:val="1160" w:hRule="atLeast"/>
          <w:jc w:val="center"/>
        </w:trPr>
        <w:tc>
          <w:tcPr>
            <w:tcW w:w="1247" w:type="dxa"/>
            <w:vMerge w:val="continue"/>
            <w:noWrap/>
            <w:vAlign w:val="center"/>
          </w:tcPr>
          <w:p>
            <w:pPr>
              <w:widowControl/>
              <w:jc w:val="center"/>
              <w:rPr>
                <w:rFonts w:ascii="??_GB2312" w:hAnsi="宋体" w:eastAsia="Times New Roman" w:cs="宋体"/>
                <w:kern w:val="0"/>
                <w:szCs w:val="21"/>
              </w:rPr>
            </w:pPr>
          </w:p>
        </w:tc>
        <w:tc>
          <w:tcPr>
            <w:tcW w:w="6560" w:type="dxa"/>
            <w:gridSpan w:val="19"/>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肝功能异常：</w:t>
            </w:r>
          </w:p>
        </w:tc>
        <w:tc>
          <w:tcPr>
            <w:tcW w:w="1913" w:type="dxa"/>
            <w:vMerge w:val="continue"/>
            <w:noWrap/>
            <w:vAlign w:val="center"/>
          </w:tcPr>
          <w:p>
            <w:pPr>
              <w:widowControl/>
              <w:jc w:val="center"/>
              <w:rPr>
                <w:rFonts w:ascii="??_GB2312" w:hAnsi="宋体" w:eastAsia="Times New Roman" w:cs="宋体"/>
                <w:kern w:val="0"/>
                <w:szCs w:val="21"/>
              </w:rPr>
            </w:pPr>
          </w:p>
        </w:tc>
      </w:tr>
      <w:tr>
        <w:trPr>
          <w:trHeight w:val="1064" w:hRule="atLeast"/>
          <w:jc w:val="center"/>
        </w:trPr>
        <w:tc>
          <w:tcPr>
            <w:tcW w:w="1961" w:type="dxa"/>
            <w:gridSpan w:val="2"/>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体检结论</w:t>
            </w:r>
          </w:p>
        </w:tc>
        <w:tc>
          <w:tcPr>
            <w:tcW w:w="7759" w:type="dxa"/>
            <w:gridSpan w:val="19"/>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　</w:t>
            </w:r>
          </w:p>
        </w:tc>
      </w:tr>
      <w:tr>
        <w:trPr>
          <w:trHeight w:val="963" w:hRule="atLeast"/>
          <w:jc w:val="center"/>
        </w:trPr>
        <w:tc>
          <w:tcPr>
            <w:tcW w:w="1961" w:type="dxa"/>
            <w:gridSpan w:val="2"/>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体检医院意见</w:t>
            </w:r>
          </w:p>
        </w:tc>
        <w:tc>
          <w:tcPr>
            <w:tcW w:w="7759" w:type="dxa"/>
            <w:gridSpan w:val="19"/>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　</w:t>
            </w:r>
          </w:p>
        </w:tc>
      </w:tr>
      <w:tr>
        <w:trPr>
          <w:trHeight w:val="1195" w:hRule="atLeast"/>
          <w:jc w:val="center"/>
        </w:trPr>
        <w:tc>
          <w:tcPr>
            <w:tcW w:w="1961" w:type="dxa"/>
            <w:gridSpan w:val="2"/>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复审意见</w:t>
            </w:r>
          </w:p>
        </w:tc>
        <w:tc>
          <w:tcPr>
            <w:tcW w:w="7759" w:type="dxa"/>
            <w:gridSpan w:val="19"/>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　</w:t>
            </w:r>
          </w:p>
        </w:tc>
      </w:tr>
      <w:tr>
        <w:trPr>
          <w:trHeight w:val="726" w:hRule="atLeast"/>
          <w:jc w:val="center"/>
        </w:trPr>
        <w:tc>
          <w:tcPr>
            <w:tcW w:w="1961" w:type="dxa"/>
            <w:gridSpan w:val="2"/>
            <w:noWrap/>
            <w:vAlign w:val="center"/>
          </w:tcPr>
          <w:p>
            <w:pPr>
              <w:widowControl/>
              <w:jc w:val="center"/>
              <w:rPr>
                <w:rFonts w:ascii="??_GB2312" w:hAnsi="宋体" w:eastAsia="Times New Roman" w:cs="宋体"/>
                <w:kern w:val="0"/>
                <w:szCs w:val="21"/>
              </w:rPr>
            </w:pPr>
            <w:r>
              <w:rPr>
                <w:rFonts w:ascii="??_GB2312" w:hAnsi="宋体" w:eastAsia="Times New Roman" w:cs="宋体"/>
                <w:kern w:val="0"/>
                <w:szCs w:val="21"/>
              </w:rPr>
              <w:t>备注</w:t>
            </w:r>
          </w:p>
        </w:tc>
        <w:tc>
          <w:tcPr>
            <w:tcW w:w="7759" w:type="dxa"/>
            <w:gridSpan w:val="19"/>
            <w:noWrap/>
            <w:vAlign w:val="center"/>
          </w:tcPr>
          <w:p>
            <w:pPr>
              <w:widowControl/>
              <w:jc w:val="left"/>
              <w:rPr>
                <w:rFonts w:ascii="??_GB2312" w:hAnsi="宋体" w:eastAsia="Times New Roman" w:cs="宋体"/>
                <w:kern w:val="0"/>
                <w:szCs w:val="21"/>
              </w:rPr>
            </w:pPr>
            <w:r>
              <w:rPr>
                <w:rFonts w:ascii="??_GB2312" w:hAnsi="宋体" w:eastAsia="Times New Roman" w:cs="宋体"/>
                <w:kern w:val="0"/>
                <w:szCs w:val="21"/>
              </w:rPr>
              <w:t>　</w:t>
            </w:r>
          </w:p>
        </w:tc>
      </w:tr>
    </w:tbl>
    <w:p>
      <w:pPr>
        <w:adjustRightInd w:val="0"/>
        <w:snapToGrid w:val="0"/>
        <w:spacing w:line="560" w:lineRule="exact"/>
        <w:ind w:firstLine="480" w:firstLineChars="200"/>
        <w:outlineLvl w:val="0"/>
        <w:rPr>
          <w:rFonts w:eastAsia="仿宋_GB2312"/>
          <w:color w:val="auto"/>
          <w:sz w:val="24"/>
          <w:szCs w:val="24"/>
        </w:rPr>
      </w:pPr>
      <w:r>
        <w:rPr>
          <w:rFonts w:eastAsia="仿宋_GB2312"/>
          <w:color w:val="auto"/>
          <w:sz w:val="24"/>
          <w:szCs w:val="24"/>
        </w:rPr>
        <w:t>注：1.“既往病史”一栏考生必须如实填写。如发现有隐瞒严重疾病，不符合体检标准的，即使已录取入学，也必须取消入学资格。</w:t>
      </w:r>
    </w:p>
    <w:p>
      <w:pPr>
        <w:adjustRightInd w:val="0"/>
        <w:snapToGrid w:val="0"/>
        <w:spacing w:line="560" w:lineRule="exact"/>
        <w:ind w:firstLine="480" w:firstLineChars="200"/>
        <w:outlineLvl w:val="0"/>
        <w:rPr>
          <w:rFonts w:eastAsia="仿宋_GB2312"/>
          <w:color w:val="auto"/>
          <w:sz w:val="24"/>
          <w:szCs w:val="24"/>
        </w:rPr>
      </w:pPr>
      <w:r>
        <w:rPr>
          <w:rFonts w:eastAsia="仿宋_GB2312"/>
          <w:color w:val="auto"/>
          <w:sz w:val="24"/>
          <w:szCs w:val="24"/>
        </w:rPr>
        <w:t>2.体检医师应在检查项目结果的正常或异常等后的空格打“√”。</w:t>
      </w:r>
    </w:p>
    <w:p>
      <w:pPr>
        <w:adjustRightInd w:val="0"/>
        <w:snapToGrid w:val="0"/>
        <w:spacing w:line="560" w:lineRule="exact"/>
        <w:ind w:firstLine="480" w:firstLineChars="200"/>
        <w:outlineLvl w:val="0"/>
        <w:rPr>
          <w:rFonts w:eastAsia="仿宋_GB2312"/>
          <w:color w:val="auto"/>
          <w:sz w:val="24"/>
          <w:szCs w:val="24"/>
        </w:rPr>
      </w:pPr>
      <w:r>
        <w:rPr>
          <w:rFonts w:eastAsia="仿宋_GB2312"/>
          <w:color w:val="auto"/>
          <w:sz w:val="24"/>
          <w:szCs w:val="24"/>
        </w:rPr>
        <w:t>3.体检标准按《普通高等学校招生体检指导意见》及教育部、卫生部有关文件要求执行。</w:t>
      </w:r>
    </w:p>
    <w:p>
      <w:pPr>
        <w:adjustRightInd w:val="0"/>
        <w:snapToGrid w:val="0"/>
        <w:spacing w:line="560" w:lineRule="exact"/>
        <w:ind w:firstLine="640" w:firstLineChars="200"/>
        <w:outlineLvl w:val="0"/>
        <w:rPr>
          <w:rFonts w:eastAsia="仿宋_GB2312"/>
          <w:color w:val="auto"/>
          <w:sz w:val="32"/>
          <w:szCs w:val="32"/>
        </w:rPr>
      </w:pPr>
      <w:r>
        <w:rPr>
          <w:rFonts w:eastAsia="仿宋_GB2312"/>
          <w:color w:val="auto"/>
          <w:sz w:val="32"/>
          <w:szCs w:val="32"/>
        </w:rPr>
        <w:tab/>
      </w:r>
      <w:r>
        <w:rPr>
          <w:rFonts w:hint="eastAsia" w:eastAsia="仿宋_GB2312"/>
          <w:color w:val="auto"/>
          <w:sz w:val="32"/>
          <w:szCs w:val="32"/>
          <w:lang w:val="en-US" w:eastAsia="zh-CN"/>
        </w:rPr>
        <w:t xml:space="preserve"> </w:t>
      </w:r>
      <w:r>
        <w:rPr>
          <w:rFonts w:eastAsia="仿宋_GB2312"/>
          <w:color w:val="auto"/>
          <w:sz w:val="32"/>
          <w:szCs w:val="32"/>
        </w:rPr>
        <w:tab/>
      </w:r>
      <w:r>
        <w:rPr>
          <w:rFonts w:hint="eastAsia" w:eastAsia="仿宋_GB2312"/>
          <w:color w:val="auto"/>
          <w:sz w:val="32"/>
          <w:szCs w:val="32"/>
          <w:lang w:val="en-US" w:eastAsia="zh-CN"/>
        </w:rPr>
        <w:t xml:space="preserve">              </w:t>
      </w:r>
      <w:r>
        <w:rPr>
          <w:rFonts w:eastAsia="仿宋_GB2312"/>
          <w:color w:val="auto"/>
          <w:sz w:val="32"/>
          <w:szCs w:val="32"/>
        </w:rPr>
        <w:t>体检日期：二О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5"/>
                </w:pPr>
                <w:r>
                  <w:rPr>
                    <w:rFonts w:hint="eastAsia"/>
                  </w:rPr>
                  <w:t>第</w:t>
                </w:r>
                <w:r>
                  <w:t xml:space="preserve"> </w:t>
                </w:r>
                <w:r>
                  <w:fldChar w:fldCharType="begin"/>
                </w:r>
                <w:r>
                  <w:instrText xml:space="preserve"> PAGE  \* MERGEFORMAT </w:instrText>
                </w:r>
                <w:r>
                  <w:fldChar w:fldCharType="separate"/>
                </w:r>
                <w:r>
                  <w:t>12</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t>15</w:t>
                </w:r>
                <w:r>
                  <w:fldChar w:fldCharType="end"/>
                </w:r>
                <w:r>
                  <w:t xml:space="preserve"> </w:t>
                </w:r>
                <w:r>
                  <w:rPr>
                    <w:rFonts w:hint="eastAsia"/>
                  </w:rPr>
                  <w:t>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BiMmY3OTliMTgyMDcwZTA4M2E3NTcyNWE0OTdiZDYifQ=="/>
    <w:docVar w:name="KSO_WPS_MARK_KEY" w:val="2bceb84a-2da0-4cf1-9729-c19efff155e5"/>
  </w:docVars>
  <w:rsids>
    <w:rsidRoot w:val="003B01D9"/>
    <w:rsid w:val="00060F69"/>
    <w:rsid w:val="000A0D5A"/>
    <w:rsid w:val="001212BF"/>
    <w:rsid w:val="001F1505"/>
    <w:rsid w:val="003B01D9"/>
    <w:rsid w:val="00426526"/>
    <w:rsid w:val="00603FFC"/>
    <w:rsid w:val="00897FFA"/>
    <w:rsid w:val="00AF2B78"/>
    <w:rsid w:val="00B123F5"/>
    <w:rsid w:val="00B808DB"/>
    <w:rsid w:val="00DE42B3"/>
    <w:rsid w:val="019C3E88"/>
    <w:rsid w:val="01EB087C"/>
    <w:rsid w:val="0272602B"/>
    <w:rsid w:val="02A44CC9"/>
    <w:rsid w:val="03612AB9"/>
    <w:rsid w:val="038F0B05"/>
    <w:rsid w:val="07835DAF"/>
    <w:rsid w:val="0818609E"/>
    <w:rsid w:val="09832259"/>
    <w:rsid w:val="0B0B055C"/>
    <w:rsid w:val="0B106E41"/>
    <w:rsid w:val="0BA466B5"/>
    <w:rsid w:val="0C707110"/>
    <w:rsid w:val="0D1C7AD2"/>
    <w:rsid w:val="0DB97712"/>
    <w:rsid w:val="0DCB0190"/>
    <w:rsid w:val="0DD6437E"/>
    <w:rsid w:val="0E5161A0"/>
    <w:rsid w:val="0F0B5845"/>
    <w:rsid w:val="10E326DB"/>
    <w:rsid w:val="10E94BAC"/>
    <w:rsid w:val="11BE15F2"/>
    <w:rsid w:val="14D95A72"/>
    <w:rsid w:val="14F0527D"/>
    <w:rsid w:val="15D76DA8"/>
    <w:rsid w:val="163324D5"/>
    <w:rsid w:val="16C0152C"/>
    <w:rsid w:val="16EB0BEB"/>
    <w:rsid w:val="1969402F"/>
    <w:rsid w:val="1A5D7097"/>
    <w:rsid w:val="1B0221DB"/>
    <w:rsid w:val="1BCC7B02"/>
    <w:rsid w:val="1C9D6AEA"/>
    <w:rsid w:val="1CE77399"/>
    <w:rsid w:val="1D53262B"/>
    <w:rsid w:val="1D5F0910"/>
    <w:rsid w:val="1E6E4634"/>
    <w:rsid w:val="1EFB133E"/>
    <w:rsid w:val="1F4161C2"/>
    <w:rsid w:val="1FE52948"/>
    <w:rsid w:val="211056C8"/>
    <w:rsid w:val="21BA60B8"/>
    <w:rsid w:val="221E695E"/>
    <w:rsid w:val="22491871"/>
    <w:rsid w:val="22540639"/>
    <w:rsid w:val="2294713C"/>
    <w:rsid w:val="22C55FFA"/>
    <w:rsid w:val="245A650F"/>
    <w:rsid w:val="24C71E2A"/>
    <w:rsid w:val="27834A33"/>
    <w:rsid w:val="289A5BCF"/>
    <w:rsid w:val="28B42927"/>
    <w:rsid w:val="28FA5745"/>
    <w:rsid w:val="29131DE9"/>
    <w:rsid w:val="2A805CC6"/>
    <w:rsid w:val="2B885D64"/>
    <w:rsid w:val="2BFB0CFF"/>
    <w:rsid w:val="2D4C3DC5"/>
    <w:rsid w:val="2D8A262B"/>
    <w:rsid w:val="2E0F65B3"/>
    <w:rsid w:val="2EF33478"/>
    <w:rsid w:val="2F7C23E2"/>
    <w:rsid w:val="300410E2"/>
    <w:rsid w:val="32B07B73"/>
    <w:rsid w:val="33AF7EE8"/>
    <w:rsid w:val="33E0587C"/>
    <w:rsid w:val="34E04BBB"/>
    <w:rsid w:val="35686E5B"/>
    <w:rsid w:val="36533F02"/>
    <w:rsid w:val="365A0F20"/>
    <w:rsid w:val="37964BA3"/>
    <w:rsid w:val="38A809A3"/>
    <w:rsid w:val="39330EA7"/>
    <w:rsid w:val="3B9504ED"/>
    <w:rsid w:val="3C270BF6"/>
    <w:rsid w:val="3C856583"/>
    <w:rsid w:val="3F302495"/>
    <w:rsid w:val="407451A1"/>
    <w:rsid w:val="439B74F1"/>
    <w:rsid w:val="43E717CB"/>
    <w:rsid w:val="44147C48"/>
    <w:rsid w:val="4434432A"/>
    <w:rsid w:val="462C7341"/>
    <w:rsid w:val="47152B60"/>
    <w:rsid w:val="47961F2B"/>
    <w:rsid w:val="47A54A40"/>
    <w:rsid w:val="48A372D7"/>
    <w:rsid w:val="48B83299"/>
    <w:rsid w:val="4B6D3ECA"/>
    <w:rsid w:val="4BC06A85"/>
    <w:rsid w:val="4BFB7083"/>
    <w:rsid w:val="4C78770B"/>
    <w:rsid w:val="4F014B60"/>
    <w:rsid w:val="4F2435FC"/>
    <w:rsid w:val="4FAE6CD7"/>
    <w:rsid w:val="50602CA8"/>
    <w:rsid w:val="510761C0"/>
    <w:rsid w:val="51921D51"/>
    <w:rsid w:val="544E25DE"/>
    <w:rsid w:val="57383DCA"/>
    <w:rsid w:val="574B7E86"/>
    <w:rsid w:val="57CB7DB5"/>
    <w:rsid w:val="57EB6A47"/>
    <w:rsid w:val="584E30D9"/>
    <w:rsid w:val="587B0743"/>
    <w:rsid w:val="5AF31D89"/>
    <w:rsid w:val="5B9A7509"/>
    <w:rsid w:val="5C1847E3"/>
    <w:rsid w:val="5C883E27"/>
    <w:rsid w:val="5CB904DB"/>
    <w:rsid w:val="5D0B22D8"/>
    <w:rsid w:val="5DE32C90"/>
    <w:rsid w:val="5E7D1FDB"/>
    <w:rsid w:val="5F7F446A"/>
    <w:rsid w:val="5FC554E4"/>
    <w:rsid w:val="601F55DE"/>
    <w:rsid w:val="618132D6"/>
    <w:rsid w:val="653A4357"/>
    <w:rsid w:val="668A2779"/>
    <w:rsid w:val="66E26C12"/>
    <w:rsid w:val="68D0704A"/>
    <w:rsid w:val="69125A4C"/>
    <w:rsid w:val="6A0344CB"/>
    <w:rsid w:val="6B0D643C"/>
    <w:rsid w:val="6BC36156"/>
    <w:rsid w:val="6C9408C0"/>
    <w:rsid w:val="6E610E6D"/>
    <w:rsid w:val="6EA97604"/>
    <w:rsid w:val="6EEB6A34"/>
    <w:rsid w:val="6F2242DA"/>
    <w:rsid w:val="6FF639CD"/>
    <w:rsid w:val="72471598"/>
    <w:rsid w:val="72CE3BB2"/>
    <w:rsid w:val="747F4524"/>
    <w:rsid w:val="75BD6A8C"/>
    <w:rsid w:val="762F1547"/>
    <w:rsid w:val="76A22CD5"/>
    <w:rsid w:val="77296B98"/>
    <w:rsid w:val="777D1E83"/>
    <w:rsid w:val="78033E21"/>
    <w:rsid w:val="78FD67AA"/>
    <w:rsid w:val="7B584F37"/>
    <w:rsid w:val="7D5025E1"/>
    <w:rsid w:val="7DB970B9"/>
    <w:rsid w:val="7DDF2BCB"/>
    <w:rsid w:val="7EF37E8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4"/>
    <w:qFormat/>
    <w:uiPriority w:val="99"/>
    <w:pPr>
      <w:keepNext/>
      <w:keepLines/>
      <w:spacing w:before="260" w:after="260" w:line="416" w:lineRule="auto"/>
      <w:outlineLvl w:val="1"/>
    </w:pPr>
    <w:rPr>
      <w:rFonts w:ascii="Cambria" w:hAnsi="Cambria"/>
      <w:b/>
      <w:bCs/>
      <w:kern w:val="0"/>
      <w:sz w:val="32"/>
      <w:szCs w:val="32"/>
    </w:rPr>
  </w:style>
  <w:style w:type="paragraph" w:styleId="3">
    <w:name w:val="heading 3"/>
    <w:basedOn w:val="1"/>
    <w:next w:val="1"/>
    <w:link w:val="15"/>
    <w:qFormat/>
    <w:uiPriority w:val="99"/>
    <w:pPr>
      <w:spacing w:beforeAutospacing="1" w:afterAutospacing="1"/>
      <w:jc w:val="left"/>
      <w:outlineLvl w:val="2"/>
    </w:pPr>
    <w:rPr>
      <w:rFonts w:ascii="宋体" w:hAnsi="宋体"/>
      <w:b/>
      <w:kern w:val="0"/>
      <w:sz w:val="27"/>
      <w:szCs w:val="27"/>
    </w:rPr>
  </w:style>
  <w:style w:type="character" w:default="1" w:styleId="11">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16"/>
    <w:qFormat/>
    <w:uiPriority w:val="99"/>
    <w:pPr>
      <w:ind w:firstLine="480" w:firstLineChars="200"/>
    </w:pPr>
    <w:rPr>
      <w:sz w:val="24"/>
    </w:rPr>
  </w:style>
  <w:style w:type="paragraph" w:styleId="5">
    <w:name w:val="footer"/>
    <w:basedOn w:val="1"/>
    <w:link w:val="17"/>
    <w:qFormat/>
    <w:uiPriority w:val="99"/>
    <w:pPr>
      <w:tabs>
        <w:tab w:val="center" w:pos="4153"/>
        <w:tab w:val="right" w:pos="8306"/>
      </w:tabs>
      <w:snapToGrid w:val="0"/>
      <w:jc w:val="left"/>
    </w:pPr>
    <w:rPr>
      <w:sz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19"/>
    <w:qFormat/>
    <w:uiPriority w:val="99"/>
    <w:pPr>
      <w:adjustRightInd w:val="0"/>
      <w:snapToGrid w:val="0"/>
      <w:spacing w:line="540" w:lineRule="exact"/>
      <w:ind w:left="153" w:leftChars="73" w:firstLine="640" w:firstLineChars="200"/>
    </w:pPr>
    <w:rPr>
      <w:sz w:val="32"/>
    </w:rPr>
  </w:style>
  <w:style w:type="paragraph" w:styleId="8">
    <w:name w:val="Normal (Web)"/>
    <w:basedOn w:val="1"/>
    <w:qFormat/>
    <w:uiPriority w:val="99"/>
    <w:pPr>
      <w:spacing w:beforeAutospacing="1" w:afterAutospacing="1"/>
      <w:jc w:val="left"/>
    </w:pPr>
    <w:rPr>
      <w:kern w:val="0"/>
      <w:sz w:val="24"/>
    </w:rPr>
  </w:style>
  <w:style w:type="table" w:styleId="10">
    <w:name w:val="Table Grid"/>
    <w:basedOn w:val="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99"/>
    <w:rPr>
      <w:rFonts w:cs="Times New Roman"/>
      <w:b/>
      <w:bCs/>
    </w:rPr>
  </w:style>
  <w:style w:type="character" w:styleId="13">
    <w:name w:val="Hyperlink"/>
    <w:basedOn w:val="11"/>
    <w:qFormat/>
    <w:uiPriority w:val="99"/>
    <w:rPr>
      <w:rFonts w:cs="Times New Roman"/>
      <w:color w:val="0000FF"/>
      <w:u w:val="single"/>
    </w:rPr>
  </w:style>
  <w:style w:type="character" w:customStyle="1" w:styleId="14">
    <w:name w:val="Heading 2 Char"/>
    <w:basedOn w:val="11"/>
    <w:link w:val="2"/>
    <w:semiHidden/>
    <w:qFormat/>
    <w:locked/>
    <w:uiPriority w:val="99"/>
    <w:rPr>
      <w:rFonts w:ascii="Cambria" w:hAnsi="Cambria" w:eastAsia="宋体" w:cs="Times New Roman"/>
      <w:b/>
      <w:bCs/>
      <w:sz w:val="32"/>
      <w:szCs w:val="32"/>
    </w:rPr>
  </w:style>
  <w:style w:type="character" w:customStyle="1" w:styleId="15">
    <w:name w:val="Heading 3 Char"/>
    <w:basedOn w:val="11"/>
    <w:link w:val="3"/>
    <w:semiHidden/>
    <w:qFormat/>
    <w:locked/>
    <w:uiPriority w:val="99"/>
    <w:rPr>
      <w:rFonts w:cs="Times New Roman"/>
      <w:b/>
      <w:bCs/>
      <w:sz w:val="32"/>
      <w:szCs w:val="32"/>
    </w:rPr>
  </w:style>
  <w:style w:type="character" w:customStyle="1" w:styleId="16">
    <w:name w:val="Body Text Indent Char"/>
    <w:basedOn w:val="11"/>
    <w:link w:val="4"/>
    <w:semiHidden/>
    <w:qFormat/>
    <w:locked/>
    <w:uiPriority w:val="99"/>
    <w:rPr>
      <w:rFonts w:cs="Times New Roman"/>
      <w:sz w:val="24"/>
      <w:szCs w:val="24"/>
    </w:rPr>
  </w:style>
  <w:style w:type="character" w:customStyle="1" w:styleId="17">
    <w:name w:val="Footer Char"/>
    <w:basedOn w:val="11"/>
    <w:link w:val="5"/>
    <w:semiHidden/>
    <w:qFormat/>
    <w:locked/>
    <w:uiPriority w:val="99"/>
    <w:rPr>
      <w:rFonts w:cs="Times New Roman"/>
      <w:sz w:val="18"/>
      <w:szCs w:val="18"/>
    </w:rPr>
  </w:style>
  <w:style w:type="character" w:customStyle="1" w:styleId="18">
    <w:name w:val="Header Char"/>
    <w:basedOn w:val="11"/>
    <w:link w:val="6"/>
    <w:semiHidden/>
    <w:qFormat/>
    <w:locked/>
    <w:uiPriority w:val="99"/>
    <w:rPr>
      <w:rFonts w:cs="Times New Roman"/>
      <w:sz w:val="18"/>
      <w:szCs w:val="18"/>
    </w:rPr>
  </w:style>
  <w:style w:type="character" w:customStyle="1" w:styleId="19">
    <w:name w:val="Body Text Indent 3 Char"/>
    <w:basedOn w:val="11"/>
    <w:link w:val="7"/>
    <w:semiHidden/>
    <w:qFormat/>
    <w:locked/>
    <w:uiPriority w:val="99"/>
    <w:rPr>
      <w:rFonts w:cs="Times New Roman"/>
      <w:sz w:val="16"/>
      <w:szCs w:val="16"/>
    </w:rPr>
  </w:style>
  <w:style w:type="paragraph" w:customStyle="1" w:styleId="20">
    <w:name w:val="Heading #2|1"/>
    <w:basedOn w:val="1"/>
    <w:qFormat/>
    <w:uiPriority w:val="99"/>
    <w:pPr>
      <w:spacing w:after="540" w:line="562" w:lineRule="exact"/>
      <w:jc w:val="center"/>
      <w:outlineLvl w:val="1"/>
    </w:pPr>
    <w:rPr>
      <w:rFonts w:ascii="宋体" w:hAnsi="宋体" w:cs="宋体"/>
      <w:sz w:val="44"/>
      <w:szCs w:val="44"/>
      <w:lang w:val="zh-TW" w:eastAsia="zh-TW"/>
    </w:rPr>
  </w:style>
  <w:style w:type="paragraph" w:customStyle="1" w:styleId="21">
    <w:name w:val="Body text|1"/>
    <w:basedOn w:val="1"/>
    <w:qFormat/>
    <w:uiPriority w:val="99"/>
    <w:pPr>
      <w:spacing w:line="394" w:lineRule="auto"/>
      <w:ind w:firstLine="400"/>
    </w:pPr>
    <w:rPr>
      <w:rFonts w:ascii="宋体" w:hAnsi="宋体" w:cs="宋体"/>
      <w:sz w:val="30"/>
      <w:szCs w:val="30"/>
      <w:lang w:val="zh-TW" w:eastAsia="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15</Pages>
  <Words>6317</Words>
  <Characters>6860</Characters>
  <Lines>0</Lines>
  <Paragraphs>0</Paragraphs>
  <TotalTime>1</TotalTime>
  <ScaleCrop>false</ScaleCrop>
  <LinksUpToDate>false</LinksUpToDate>
  <CharactersWithSpaces>7229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2019-11-11T03:14:00Z</dcterms:created>
  <dc:creator>招生办</dc:creator>
  <cp:lastModifiedBy>蚂蚁小姐</cp:lastModifiedBy>
  <cp:lastPrinted>2021-01-07T06:45:00Z</cp:lastPrinted>
  <dcterms:modified xsi:type="dcterms:W3CDTF">2024-01-03T02:15:50Z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CF8EC6277A3A48E793445943876CDD2F</vt:lpwstr>
  </property>
</Properties>
</file>