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340" w:lineRule="exact"/>
        <w:jc w:val="center"/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val="en-US" w:eastAsia="zh-CN"/>
        </w:rPr>
        <w:t>肇庆学院2022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年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val="en-US" w:eastAsia="zh-CN"/>
        </w:rPr>
        <w:t>退役大学生士兵</w:t>
      </w:r>
    </w:p>
    <w:p>
      <w:pPr>
        <w:adjustRightInd w:val="0"/>
        <w:snapToGrid w:val="0"/>
        <w:spacing w:afterLines="100" w:line="340" w:lineRule="exact"/>
        <w:jc w:val="center"/>
        <w:rPr>
          <w:rFonts w:hint="eastAsia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eastAsia="zh-CN"/>
        </w:rPr>
        <w:t>普通专升本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考试大纲</w:t>
      </w:r>
    </w:p>
    <w:p>
      <w:pPr>
        <w:adjustRightInd w:val="0"/>
        <w:snapToGrid w:val="0"/>
        <w:spacing w:afterLines="100" w:line="34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（校考专业课：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国际贸易理论与实务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Ⅰ．考试性质</w:t>
      </w:r>
    </w:p>
    <w:p>
      <w:pPr>
        <w:adjustRightInd w:val="0"/>
        <w:snapToGrid w:val="0"/>
        <w:spacing w:line="3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面向2022年退役大学生专科相关专业毕业生进行选拔。根据考生的成绩，按照已确定的招生计划，德、智、体全面衡量，择优录取。</w:t>
      </w:r>
    </w:p>
    <w:p>
      <w:pPr>
        <w:pStyle w:val="2"/>
        <w:rPr>
          <w:rFonts w:hint="eastAsia"/>
        </w:rPr>
      </w:pPr>
    </w:p>
    <w:p>
      <w:pPr>
        <w:pStyle w:val="3"/>
        <w:adjustRightInd w:val="0"/>
        <w:snapToGrid w:val="0"/>
        <w:spacing w:line="340" w:lineRule="exact"/>
        <w:ind w:left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Ⅱ．考试内容及要求</w:t>
      </w:r>
    </w:p>
    <w:p>
      <w:pPr>
        <w:adjustRightInd w:val="0"/>
        <w:snapToGrid w:val="0"/>
        <w:spacing w:line="340" w:lineRule="exact"/>
        <w:rPr>
          <w:rFonts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第一章 导论 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一、总贸易体系与专门贸易体系的概念及判断（识记）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二、直接贸易、转口贸易与过境贸易的概念（理解）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三、关税与贸易总协定乌拉圭回合多边贸易谈判达成的《服务贸易总协定》将国际服务贸易划分为哪些类型？（识记）</w:t>
      </w:r>
    </w:p>
    <w:p>
      <w:pPr>
        <w:adjustRightInd w:val="0"/>
        <w:snapToGrid w:val="0"/>
        <w:spacing w:line="340" w:lineRule="exact"/>
        <w:rPr>
          <w:rFonts w:cs="宋体" w:asciiTheme="minorEastAsia" w:hAnsiTheme="minorEastAsia"/>
          <w:b/>
          <w:bCs/>
          <w:sz w:val="24"/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 国际分工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一、亚当·斯密的绝对优势论（理解）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二、大卫·李嘉图的比较优势论（识记）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三、赫克歇尔-俄林的要素禀赋论（识记）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四、产业内贸易说（识记）</w:t>
      </w:r>
    </w:p>
    <w:p>
      <w:pPr>
        <w:adjustRightInd w:val="0"/>
        <w:snapToGrid w:val="0"/>
        <w:spacing w:line="340" w:lineRule="exact"/>
        <w:rPr>
          <w:rFonts w:cs="宋体" w:asciiTheme="minorEastAsia" w:hAnsiTheme="minorEastAsia"/>
          <w:b/>
          <w:bCs/>
          <w:sz w:val="24"/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 世界市场与世界市场价格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一、贸易条件的定义（识记）</w:t>
      </w:r>
    </w:p>
    <w:p>
      <w:pPr>
        <w:adjustRightInd w:val="0"/>
        <w:snapToGrid w:val="0"/>
        <w:spacing w:line="340" w:lineRule="exact"/>
        <w:ind w:firstLine="482"/>
        <w:rPr>
          <w:rFonts w:asciiTheme="minorEastAsia" w:hAnsiTheme="minorEastAsia"/>
          <w:color w:val="000000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二、贸易条件的类型（理解、识记）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第四章 对外贸易政策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一、重商主义理论（理解、识记）：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二、李斯特的保护幼稚产业理论（识记）</w:t>
      </w:r>
    </w:p>
    <w:p>
      <w:pPr>
        <w:adjustRightInd w:val="0"/>
        <w:snapToGrid w:val="0"/>
        <w:spacing w:line="340" w:lineRule="exact"/>
        <w:ind w:firstLine="482"/>
        <w:rPr>
          <w:rFonts w:asciiTheme="minorEastAsia" w:hAnsiTheme="minorEastAsia"/>
          <w:color w:val="000000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三、凯恩斯的“保护就业论”（识记）</w:t>
      </w:r>
    </w:p>
    <w:p>
      <w:pPr>
        <w:adjustRightInd w:val="0"/>
        <w:snapToGrid w:val="0"/>
        <w:spacing w:line="340" w:lineRule="exact"/>
        <w:ind w:firstLine="480" w:firstLineChars="200"/>
        <w:jc w:val="center"/>
        <w:rPr>
          <w:rFonts w:asciiTheme="minorEastAsia" w:hAnsiTheme="minorEastAsia"/>
          <w:color w:val="000000"/>
          <w:sz w:val="24"/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 国家实施贸易政策的措施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一、补贴的定义、补贴的主要分类（识记）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二、反补贴税的含义（理解、识记）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三、反倾销税的含义（理解、识记）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四、从量税与从价税的含义及计算（识记）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五、名义保护率与有效保护率的含义及计算（识记）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六、进口配额制的含义及形式（识记）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七、外汇管制的含义（识记）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八、商品倾销的含义及形式（识记）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九、外汇倾销的含义及条件（识记）</w:t>
      </w:r>
    </w:p>
    <w:p>
      <w:pPr>
        <w:adjustRightInd w:val="0"/>
        <w:snapToGrid w:val="0"/>
        <w:spacing w:line="340" w:lineRule="exact"/>
        <w:ind w:firstLine="480" w:firstLineChars="200"/>
        <w:jc w:val="center"/>
        <w:rPr>
          <w:rFonts w:asciiTheme="minorEastAsia" w:hAnsiTheme="minorEastAsia"/>
          <w:color w:val="000000"/>
          <w:sz w:val="24"/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第七章 区域经济一体化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一、区域经济一体化的六种类型（识记）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二、关税同盟与共同市场的含义（识记）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三、分析关税同盟的静态效应和关税同盟的动态效应（识记）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第八章 世界贸易组织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一、关税与贸易总协定的含义（理解）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二、关税与贸易总协定的最惠国待遇条款和国民待遇条款的含义及判断（识记）</w:t>
      </w:r>
    </w:p>
    <w:p>
      <w:pPr>
        <w:adjustRightInd w:val="0"/>
        <w:snapToGrid w:val="0"/>
        <w:spacing w:line="340" w:lineRule="exact"/>
        <w:ind w:firstLine="480" w:firstLineChars="200"/>
        <w:jc w:val="center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第九章 国际贸易术语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一、国际贸易惯例及其性质和作用（理解）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国际上有较大影响的有关贸易术语的惯例（三种）；国际贸易惯例的性质和作用 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二、FOB、CFR和CIF术语（识记）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FOB、CFR和CIF术语的含义；FOB、CFR和CIF术语下买卖双方义务的规定；使用FOB、CFR和CIF术语应注意的问题。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三、FCA、CPT和CIP术语（识记）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FCA、CPT和CIP术语的含义；FCA、CPT和CIP术语下买卖双方义务的规定；使用FCA、CPT和CIP术语应注意的问题。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b/>
          <w:bCs/>
          <w:color w:val="000000"/>
          <w:sz w:val="24"/>
        </w:rPr>
      </w:pP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第十章 标的物及与其相关的条款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一、合同当事人（理解）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合同当事人条款的主要内容；约定合同当事人条款的注意事项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二、成交商品的名称（理解）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商品名称是合同中不可缺少的主要交易条件，代表了商品通常应具有的品质。在合同中，应尽可能使用国际上通用的名称。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三、进出口商品的质量（理解）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品质的含义及重要性；表示进出口商品质量的方法；进出口合同中的品质条款。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四、进出口商品的数量（识记）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计量单位；计算重量的方法；约定数量条款的注意事项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五、进出口商品的包装（识记）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包装的种类和作用；运输包装的标志；定牌和中性包装；合同中的包装条款</w:t>
      </w:r>
    </w:p>
    <w:p>
      <w:pPr>
        <w:adjustRightInd w:val="0"/>
        <w:snapToGrid w:val="0"/>
        <w:spacing w:line="34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第十一章 国际货物运输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一、运输方式（理解，识记）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海洋运输：班轮运输，租船运输；其他运输方式：航空运输，集装箱运输和国际多式联运，美国OCP运输。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二、装运条款（识记）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熟练运用和填制装运条款内容：装运时间，装运港和目的港，分批发运和转运，转运通知，滞期、速遣条款；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三、运输单据（识记）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海运提单的性质与作用；海运提单的种类；海运单的含义；航空运单的含义。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b/>
          <w:bCs/>
          <w:color w:val="000000"/>
          <w:sz w:val="24"/>
        </w:rPr>
      </w:pPr>
      <w:r>
        <w:rPr>
          <w:rFonts w:asciiTheme="minorEastAsia" w:hAnsiTheme="minorEastAsia"/>
          <w:b/>
          <w:bCs/>
          <w:color w:val="000000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第十二章 国际货物运输保险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一、海洋运输货物保险保障的范围（识记）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保障的风险；保障的损失；保障的费用.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二、我国海洋运输货物保险条款（识记）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基本险：平安险，水渍险，一切险；附加险别：一般附加险，特殊附加险。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三、伦敦保险协会海洋运输货物保险条款（识记）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ICC（A）、ICC（B）、ICC（C）条款的主要内容。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b/>
          <w:bCs/>
          <w:color w:val="000000"/>
          <w:sz w:val="24"/>
        </w:rPr>
      </w:pPr>
      <w:r>
        <w:rPr>
          <w:rFonts w:asciiTheme="minorEastAsia" w:hAnsiTheme="minorEastAsia"/>
          <w:b/>
          <w:bCs/>
          <w:color w:val="000000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第十三章 进出口商品的价格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一、成交价格的掌握（识记）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加强成本核算：出口换汇成本，出口盈亏率，成品出口创汇率；主要贸易术语的价格构成和主要贸易术语的价格换算。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二、进出口商品的定价办法（识记）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固定价格；暂定价格。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四、佣金与折扣的运用（理解，识记）</w:t>
      </w:r>
    </w:p>
    <w:p>
      <w:pPr>
        <w:adjustRightInd w:val="0"/>
        <w:snapToGrid w:val="0"/>
        <w:spacing w:line="340" w:lineRule="exact"/>
        <w:ind w:firstLine="482"/>
        <w:rPr>
          <w:rFonts w:asciiTheme="minorEastAsia" w:hAnsiTheme="minorEastAsia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佣金与折扣的含义与作用，佣金与折扣的规定方法，佣金与折扣的计算方法。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第十四章 贸易货款的结算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一、票据（识记）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票据的含义及种类；汇票的含义和基本内容；汇票的种类；汇票的使用方法。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二、汇付与托收（识记）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国际贸易支付方式，主要有三种，即汇付、托收、信用证。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汇付的含义；汇付方式有三种，即信汇、电汇、票汇；托收的含义；托收的种类。</w:t>
      </w:r>
    </w:p>
    <w:p>
      <w:pPr>
        <w:adjustRightInd w:val="0"/>
        <w:snapToGrid w:val="0"/>
        <w:spacing w:line="340" w:lineRule="exact"/>
        <w:ind w:firstLine="482"/>
        <w:rPr>
          <w:rFonts w:asciiTheme="minorEastAsia" w:hAnsiTheme="minorEastAsia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三、信用证的含义；信用证的特点；信用证当事人；信用证的主要内容；信用证的种类。           </w:t>
      </w:r>
      <w:r>
        <w:rPr>
          <w:rFonts w:asciiTheme="minorEastAsia" w:hAnsiTheme="minorEastAsia"/>
          <w:sz w:val="24"/>
        </w:rPr>
        <w:t xml:space="preserve">            </w:t>
      </w:r>
      <w:r>
        <w:rPr>
          <w:rFonts w:hint="eastAsia" w:asciiTheme="minorEastAsia" w:hAnsiTheme="minorEastAsia"/>
          <w:sz w:val="24"/>
        </w:rPr>
        <w:t xml:space="preserve">                             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第十五章 国际贸易争议的处理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一、异议与索赔（理解）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异议与索赔的含义；进出口合同的索赔条款；索赔责任范围划分；索赔应注意的问题。              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二、违约金与定金（识记）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违约金与定金的含义以及两者在法律上的区别和联系；违约金与定金的适用。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三、不可抗力（理解）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不可抗力的含义；不可抗力条款的主要内容；援引不可抗力条款应注意事项。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四、仲裁（理解）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仲裁协议的形式；仲裁协议条款的基本内容；约定仲裁条款的注意事项。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第十六章 国际货物交易的准备、磋商与合同的订立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一、订立合同的步骤（理解，识记）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询盘；发盘，构成发盘的条件，发盘的生效期限，发盘的撤回与撤消；还盘；接受，构成接受的要件，接受生效的时间。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二、合同成立的时间与合同生效的要件（理解，识记）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合同成立的时间；合同生效的要件。</w:t>
      </w:r>
    </w:p>
    <w:p>
      <w:pPr>
        <w:adjustRightInd w:val="0"/>
        <w:snapToGrid w:val="0"/>
        <w:spacing w:line="3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第十七章 进出口合同的履行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一、出口合同的履行（理解、识记）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出口合同履行过程包括：备货、报验、催证、审证、改证、租船订舱、制单结汇等；信用证项下制单结汇。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二、进口合同的履行（识记）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进口合同的履行过程包括：信用证的开立和修改、安排运输和保险、审单和付款、报关和接货、商品检验、进口索赔。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三、进出口货物报关（识记）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进出口货物报关流程是：申报、查验、征税、放行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四、主要进出口单据（理解，识记）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主要进出口单据有：汇票、发票、装箱单或重量单、提单、保险单、产地证明书、商检证书、普惠制单据等。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缮制单据必须严格做到“单、证一致，单、单一致”的原则，单证不符合开证行可以拒付贷款。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第十八章 国际贸易方式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一、独家经销（理解，识记）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经销的含义与做法；经销协议的主要内容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二、独家代理（理解，识记）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代理的概念；代理的类型。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三、寄售（理解）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寄售的含义；寄售协议的主要内容。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四、加工贸易（理解，识记）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来料加工的含义，来料加工的特点；进料加工的含义，进料加工的特点。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五、跨境电子商务（理解，识记）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跨境电子商务分类：按照经营主体分类，按照贸易流程分类。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跨境电子商务的商业模式（理解）：跨境网上商店模式；跨境网络信息撮合模式；跨境交易市场模式；综合服务平台模式；供应链管理模式；跨境价值链整合模式；跨境协同商务模式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3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Ⅲ．考试形式及试卷结构</w:t>
      </w:r>
    </w:p>
    <w:p>
      <w:pPr>
        <w:adjustRightInd w:val="0"/>
        <w:snapToGrid w:val="0"/>
        <w:spacing w:line="33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、考试形式：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闭卷、笔试。考试时间120分钟，满分1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分。考生使用答题卡答题。</w:t>
      </w:r>
    </w:p>
    <w:p>
      <w:pPr>
        <w:adjustRightInd w:val="0"/>
        <w:snapToGrid w:val="0"/>
        <w:spacing w:line="330" w:lineRule="exact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二、试题难易比例：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容易题…………………约占20%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中等难度题……………约占50%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难题……………………约占30%</w:t>
      </w:r>
    </w:p>
    <w:p>
      <w:pPr>
        <w:adjustRightInd w:val="0"/>
        <w:snapToGrid w:val="0"/>
        <w:spacing w:line="330" w:lineRule="exact"/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三、试题分值比例：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1.单项选择题…………………          约占10%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2.判断题………………………          约占10%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3.名词解释…………………            约占30%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4.简答题……………………            约占40%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5.计算题…………………              约占30%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6.案例分析题…………………          约占30%</w:t>
      </w: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30" w:lineRule="exact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Ⅳ．题型示例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一、单项选择题（（以下各题的四个备选答案中只有一个是正确的，请将你认为正确的答案代码填入下表与题号相应的空格内，每题1分，共10分）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1、在国际贸易中计量生丝重量的方法通常是按 (    )计。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A.毛重    B.净重    C.公量    D.理论重量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 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二、判断题（（对的打“√”，错的打“×”，请将你认为正确的答案代码填入下表与题号相应的空格内。每小题1分，共10分）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1、国际贸易中采用FOB和CIF成交，对卖方来讲，其所承担的风险是不一样的。（    ）               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三、名词解释（每小题5分，共30分）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1、记名提单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四、简答题（每小题10分，共40分）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1、简述FOB、CFR、CIF三种传统术语的异同点。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五、计算题（每小题10分，共30分）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1、已知某商品对外报价为每箱2000美元FOB上海。应美国客户要求改报CIF C3%纽约，查表获知每箱的运费为200美元，投保一切险并加保战争险，保险费率分别为0.50%和0.05%，按发票金额的110%投保，我方应报价多少美元才能保持外汇净收入不变？ (计算结果保留到小数点后两位数)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六、案例分析题（每小题15分，共30分）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1、我国某出口公司于美国A公司以CIF价签订一份贸易合同，总价值500万美元。我出口公司严格按照合同和信用证的要求装船后，备齐全套单据准备结汇时，接A公司发来的通知函：“因贵公司所租运货船舶已在海上航行时发生沉船事故，货物已经全部灭失，本公司不准备支付货款；由于本航次货物保险由贵公司在中国办理，请贵公司直接向保险公司索赔损失。” 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问：A公司的要求是否合理？请说明理由。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</w:p>
    <w:p>
      <w:pPr>
        <w:spacing w:line="340" w:lineRule="exact"/>
        <w:ind w:firstLine="562" w:firstLineChars="200"/>
        <w:jc w:val="center"/>
      </w:pPr>
      <w:r>
        <w:rPr>
          <w:rFonts w:hint="eastAsia" w:ascii="宋体" w:hAnsi="宋体"/>
          <w:b/>
          <w:sz w:val="28"/>
          <w:szCs w:val="28"/>
        </w:rPr>
        <w:t>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</w:rPr>
        <w:t>．</w:t>
      </w: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1.《国际贸易理论与实务》（第二版），冷柏军、张玮著，中国人民大学出版社.北京，2019年7月。</w:t>
      </w:r>
    </w:p>
    <w:p>
      <w:pPr>
        <w:adjustRightInd w:val="0"/>
        <w:snapToGrid w:val="0"/>
        <w:spacing w:line="340" w:lineRule="exact"/>
        <w:ind w:firstLine="482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2.《国际贸易理论与实务》（第5版），傅龙海，吴慧君，詹小琦，对外贸易大学出版社.北京，2021年3月。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93399"/>
    <w:rsid w:val="0CBB0E40"/>
    <w:rsid w:val="29593399"/>
    <w:rsid w:val="3BF81EA5"/>
    <w:rsid w:val="49380EE5"/>
    <w:rsid w:val="49E5259C"/>
    <w:rsid w:val="66302A05"/>
    <w:rsid w:val="6FC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72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2022-02-07T10:41:00Z</dcterms:created>
  <dc:creator>Administrator</dc:creator>
  <cp:lastModifiedBy>Administrator</cp:lastModifiedBy>
  <dcterms:modified xsi:type="dcterms:W3CDTF">2022-02-11T08:58:56Z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4F997D8042E3429181486240E6A72BE1</vt:lpwstr>
  </property>
</Properties>
</file>