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jc w:val="center"/>
        <w:textAlignment w:val="auto"/>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lang w:eastAsia="zh-CN"/>
        </w:rPr>
        <w:t>肇庆学院</w:t>
      </w:r>
      <w:r>
        <w:rPr>
          <w:rFonts w:hint="eastAsia" w:ascii="方正小标宋简体" w:hAnsi="华文中宋" w:eastAsia="方正小标宋简体" w:cs="Times New Roman"/>
          <w:sz w:val="44"/>
          <w:szCs w:val="44"/>
        </w:rPr>
        <w:t>20</w:t>
      </w:r>
      <w:r>
        <w:rPr>
          <w:rFonts w:hint="eastAsia" w:ascii="方正小标宋简体" w:hAnsi="华文中宋" w:eastAsia="方正小标宋简体" w:cs="Times New Roman"/>
          <w:sz w:val="44"/>
          <w:szCs w:val="44"/>
          <w:lang w:val="en-US" w:eastAsia="zh-CN"/>
        </w:rPr>
        <w:t>21年普通高等学校专升本招</w:t>
      </w:r>
      <w:r>
        <w:rPr>
          <w:rFonts w:hint="eastAsia" w:ascii="方正小标宋简体" w:hAnsi="华文中宋" w:eastAsia="方正小标宋简体" w:cs="Times New Roman"/>
          <w:sz w:val="44"/>
          <w:szCs w:val="44"/>
        </w:rPr>
        <w:t>生简章</w:t>
      </w:r>
    </w:p>
    <w:p>
      <w:pPr>
        <w:pageBreakBefore w:val="0"/>
        <w:kinsoku/>
        <w:wordWrap/>
        <w:overflowPunct/>
        <w:topLinePunct w:val="0"/>
        <w:autoSpaceDE/>
        <w:autoSpaceDN/>
        <w:bidi w:val="0"/>
        <w:spacing w:line="500" w:lineRule="exact"/>
        <w:ind w:firstLine="880" w:firstLineChars="200"/>
        <w:jc w:val="center"/>
        <w:textAlignment w:val="auto"/>
        <w:rPr>
          <w:rStyle w:val="12"/>
          <w:rFonts w:hint="eastAsia" w:ascii="方正小标宋简体" w:hAnsi="黑体" w:eastAsia="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为全面贯彻落实全国教育大会精神，进一步畅顺选拔优秀专科毕业生升入本科阶段学习的渠道，根据《国务院关于深化考试招生制度改革的实施意见》（国发〔2014〕35号）、《广东省人民政府关于深化考试招生制度改革的实施意见》（粤府〔2016〕17号）</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《广东省招生委员会办公室关于做好广东省2021年普通高等学校专升本招生考试工作的通知》（粤招办〔2020〕30号）以及</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广东省2021年普通高等学校专升本招生工作规定</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粤招办</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〔2021〕1号</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有关精神，特制定我</w:t>
      </w:r>
      <w:r>
        <w:rPr>
          <w:rFonts w:hint="eastAsia" w:ascii="仿宋_GB2312" w:hAnsi="仿宋" w:eastAsia="仿宋_GB2312" w:cs="Times New Roman"/>
          <w:color w:val="auto"/>
          <w:sz w:val="32"/>
          <w:szCs w:val="32"/>
          <w:lang w:eastAsia="zh-CN"/>
        </w:rPr>
        <w:t>校</w:t>
      </w:r>
      <w:r>
        <w:rPr>
          <w:rFonts w:hint="eastAsia" w:ascii="仿宋_GB2312" w:hAnsi="仿宋" w:eastAsia="仿宋_GB2312" w:cs="Times New Roman"/>
          <w:color w:val="auto"/>
          <w:sz w:val="32"/>
          <w:szCs w:val="32"/>
        </w:rPr>
        <w:t>202</w:t>
      </w: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年普通专升本招生</w:t>
      </w:r>
      <w:r>
        <w:rPr>
          <w:rFonts w:hint="eastAsia" w:ascii="仿宋_GB2312" w:hAnsi="仿宋" w:eastAsia="仿宋_GB2312" w:cs="Times New Roman"/>
          <w:color w:val="auto"/>
          <w:sz w:val="32"/>
          <w:szCs w:val="32"/>
          <w:lang w:eastAsia="zh-CN"/>
        </w:rPr>
        <w:t>简章</w:t>
      </w:r>
      <w:r>
        <w:rPr>
          <w:rFonts w:hint="eastAsia" w:ascii="仿宋_GB2312" w:hAnsi="仿宋" w:eastAsia="仿宋_GB2312" w:cs="Times New Roman"/>
          <w:color w:val="auto"/>
          <w:sz w:val="32"/>
          <w:szCs w:val="32"/>
        </w:rPr>
        <w:t>。</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一、招生对象及报考条件</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rPr>
      </w:pPr>
      <w:r>
        <w:rPr>
          <w:rFonts w:hint="eastAsia" w:ascii="楷体_GB2312" w:hAnsi="华文中宋" w:eastAsia="楷体_GB2312" w:cs="Times New Roman"/>
          <w:sz w:val="32"/>
          <w:szCs w:val="32"/>
        </w:rPr>
        <w:t>（一）招生对象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拥护中国共产党的领导，热爱祖国，品德良好，遵纪守法，愿为社会主义现代化建设勤奋学习且具培养前途，身体健康状况符合普通高校招生的体检要求，并符合下列条件之一的人员可以报考：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具有广东省户籍的普通高校应、往届专科毕业生。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2</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s="Times New Roman"/>
          <w:color w:val="auto"/>
          <w:sz w:val="32"/>
          <w:szCs w:val="32"/>
        </w:rPr>
        <w:t>具有广东省户籍，在报名确认截止日期前取得国家承认学历的专科毕业生（含成人教育、自学考试、网络教育，</w:t>
      </w:r>
      <w:r>
        <w:rPr>
          <w:rFonts w:hint="eastAsia" w:ascii="仿宋_GB2312" w:hAnsi="仿宋" w:eastAsia="仿宋_GB2312" w:cs="Times New Roman"/>
          <w:b/>
          <w:bCs/>
          <w:color w:val="auto"/>
          <w:sz w:val="32"/>
          <w:szCs w:val="32"/>
        </w:rPr>
        <w:t>毕业证书落款日期在2021年2月2日前</w:t>
      </w:r>
      <w:r>
        <w:rPr>
          <w:rFonts w:hint="eastAsia" w:ascii="仿宋_GB2312" w:hAnsi="仿宋"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3</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s="Times New Roman"/>
          <w:color w:val="auto"/>
          <w:sz w:val="32"/>
          <w:szCs w:val="32"/>
        </w:rPr>
        <w:t>非广东省户籍，就读广东省普通高校的应届及在择业期内（毕业两年内，下同）的往届专科毕业生。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4</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s="Times New Roman"/>
          <w:color w:val="auto"/>
          <w:sz w:val="32"/>
          <w:szCs w:val="32"/>
        </w:rPr>
        <w:t>非广东省户籍，在广东省参加普通高考被外省普通高校录取并就读的应届及在择业期内的往届专科毕业生。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5.报考退役士兵类别的，需符合户籍、学历等相应报考条件，且为普通高校专科学生应征入伍服义务兵役退役，在完成高职（专科）学业后报考的人员。根据《教育部办公厅关于进一步做好高校学生参军入伍工作的通知》（教学厅〔2015〕3号）有关精神，实行</w:t>
      </w:r>
      <w:r>
        <w:rPr>
          <w:rFonts w:hint="eastAsia" w:ascii="仿宋_GB2312" w:hAnsi="仿宋" w:eastAsia="仿宋_GB2312" w:cs="Times New Roman"/>
          <w:color w:val="auto"/>
          <w:sz w:val="32"/>
          <w:szCs w:val="32"/>
          <w:lang w:eastAsia="zh-CN"/>
        </w:rPr>
        <w:t>单独划线，单列计划；</w:t>
      </w:r>
      <w:r>
        <w:rPr>
          <w:rFonts w:hint="eastAsia" w:ascii="仿宋_GB2312" w:hAnsi="仿宋" w:eastAsia="仿宋_GB2312" w:cs="Times New Roman"/>
          <w:color w:val="auto"/>
          <w:sz w:val="32"/>
          <w:szCs w:val="32"/>
        </w:rPr>
        <w:t>服义务兵役期间荣立三等功（含三等功）以上奖励的高职（专科）退役士兵考生（应届或往届）免试入读本年度</w:t>
      </w:r>
      <w:r>
        <w:rPr>
          <w:rFonts w:hint="eastAsia" w:ascii="仿宋_GB2312" w:hAnsi="仿宋" w:eastAsia="仿宋_GB2312" w:cs="Times New Roman"/>
          <w:color w:val="auto"/>
          <w:sz w:val="32"/>
          <w:szCs w:val="32"/>
          <w:lang w:val="en-US" w:eastAsia="zh-CN"/>
        </w:rPr>
        <w:t>我校</w:t>
      </w:r>
      <w:r>
        <w:rPr>
          <w:rFonts w:hint="eastAsia" w:ascii="仿宋_GB2312" w:hAnsi="仿宋" w:eastAsia="仿宋_GB2312" w:cs="Times New Roman"/>
          <w:color w:val="auto"/>
          <w:sz w:val="32"/>
          <w:szCs w:val="32"/>
        </w:rPr>
        <w:t>招收</w:t>
      </w:r>
      <w:r>
        <w:rPr>
          <w:rFonts w:hint="eastAsia" w:ascii="仿宋_GB2312" w:hAnsi="仿宋" w:eastAsia="仿宋_GB2312" w:cs="Times New Roman"/>
          <w:color w:val="auto"/>
          <w:sz w:val="32"/>
          <w:szCs w:val="32"/>
          <w:lang w:eastAsia="zh-CN"/>
        </w:rPr>
        <w:t>普通专升本</w:t>
      </w:r>
      <w:r>
        <w:rPr>
          <w:rFonts w:hint="eastAsia" w:ascii="仿宋_GB2312" w:hAnsi="仿宋" w:eastAsia="仿宋_GB2312" w:cs="Times New Roman"/>
          <w:color w:val="auto"/>
          <w:sz w:val="32"/>
          <w:szCs w:val="32"/>
          <w:lang w:val="en-US" w:eastAsia="zh-CN"/>
        </w:rPr>
        <w:t>的</w:t>
      </w:r>
      <w:r>
        <w:rPr>
          <w:rFonts w:hint="eastAsia" w:ascii="仿宋_GB2312" w:hAnsi="仿宋" w:eastAsia="仿宋_GB2312" w:cs="Times New Roman"/>
          <w:color w:val="auto"/>
          <w:sz w:val="32"/>
          <w:szCs w:val="32"/>
        </w:rPr>
        <w:t>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6</w:t>
      </w:r>
      <w:r>
        <w:rPr>
          <w:rFonts w:hint="eastAsia" w:ascii="仿宋_GB2312" w:hAnsi="仿宋" w:eastAsia="仿宋_GB2312" w:cs="Times New Roman"/>
          <w:color w:val="auto"/>
          <w:sz w:val="32"/>
          <w:szCs w:val="32"/>
        </w:rPr>
        <w:t>.建档立卡</w:t>
      </w:r>
      <w:r>
        <w:rPr>
          <w:rFonts w:hint="eastAsia" w:ascii="仿宋_GB2312" w:hAnsi="仿宋" w:eastAsia="仿宋_GB2312" w:cs="Times New Roman"/>
          <w:color w:val="auto"/>
          <w:sz w:val="32"/>
          <w:szCs w:val="32"/>
          <w:lang w:eastAsia="zh-CN"/>
        </w:rPr>
        <w:t>考生</w:t>
      </w:r>
      <w:r>
        <w:rPr>
          <w:rFonts w:hint="eastAsia" w:ascii="仿宋_GB2312" w:hAnsi="仿宋" w:eastAsia="仿宋_GB2312" w:cs="Times New Roman"/>
          <w:color w:val="auto"/>
          <w:sz w:val="32"/>
          <w:szCs w:val="32"/>
        </w:rPr>
        <w:t>，</w:t>
      </w:r>
      <w:r>
        <w:rPr>
          <w:rFonts w:hint="eastAsia" w:ascii="仿宋_GB2312" w:hAnsi="仿宋" w:eastAsia="仿宋_GB2312" w:cs="Times New Roman"/>
          <w:color w:val="auto"/>
          <w:sz w:val="32"/>
          <w:szCs w:val="32"/>
          <w:lang w:eastAsia="zh-CN"/>
        </w:rPr>
        <w:t>符合</w:t>
      </w:r>
      <w:r>
        <w:rPr>
          <w:rFonts w:hint="eastAsia" w:ascii="仿宋_GB2312" w:hAnsi="仿宋" w:eastAsia="仿宋_GB2312" w:cs="Times New Roman"/>
          <w:color w:val="auto"/>
          <w:sz w:val="32"/>
          <w:szCs w:val="32"/>
        </w:rPr>
        <w:t>上述相应报考条件的</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必须为省级以上扶贫管理部门登记在册人员。广东省户籍的建档立卡贫困家庭考生为广东省扶贫开发办公室登记在册，2021年有建档立卡资料的考生（以广东省扶贫开发办公室提供的数据为准http://210.76.68.130:8080/fpy/a/index.do）；外省户籍建档立卡的考生，原则上应为国家层面建档立卡贫困家庭考生。</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rPr>
      </w:pPr>
      <w:r>
        <w:rPr>
          <w:rFonts w:hint="eastAsia" w:ascii="楷体_GB2312" w:hAnsi="华文中宋" w:eastAsia="楷体_GB2312" w:cs="Times New Roman"/>
          <w:sz w:val="32"/>
          <w:szCs w:val="32"/>
        </w:rPr>
        <w:t>（二）下列人员不得报考：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1.普通高校应届毕业生之外的各类高等学历教育在校生；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2.因违反国家教育考试规定,被给予暂停参加</w:t>
      </w:r>
      <w:r>
        <w:rPr>
          <w:rFonts w:hint="eastAsia" w:ascii="仿宋_GB2312" w:hAnsi="仿宋" w:eastAsia="仿宋_GB2312" w:cs="Times New Roman"/>
          <w:color w:val="auto"/>
          <w:sz w:val="32"/>
          <w:szCs w:val="32"/>
          <w:lang w:eastAsia="zh-CN"/>
        </w:rPr>
        <w:t>普通专升本</w:t>
      </w:r>
      <w:r>
        <w:rPr>
          <w:rFonts w:hint="eastAsia" w:ascii="仿宋_GB2312" w:hAnsi="仿宋" w:eastAsia="仿宋_GB2312" w:cs="Times New Roman"/>
          <w:color w:val="auto"/>
          <w:sz w:val="32"/>
          <w:szCs w:val="32"/>
        </w:rPr>
        <w:t>招生考试处理且在停考期内的人员;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3.因触犯刑律已被有关部门采取强制措施或正在服刑者；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4.不符合报考条件的其他人员。</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eastAsia="zh-CN"/>
        </w:rPr>
      </w:pPr>
      <w:r>
        <w:rPr>
          <w:rFonts w:hint="eastAsia" w:ascii="黑体" w:hAnsi="黑体" w:eastAsia="黑体"/>
          <w:color w:val="auto"/>
          <w:sz w:val="32"/>
          <w:szCs w:val="32"/>
        </w:rPr>
        <w:t>二、报名</w:t>
      </w:r>
      <w:r>
        <w:rPr>
          <w:rFonts w:hint="eastAsia" w:ascii="黑体" w:hAnsi="黑体" w:eastAsia="黑体"/>
          <w:color w:val="auto"/>
          <w:sz w:val="32"/>
          <w:szCs w:val="32"/>
          <w:lang w:eastAsia="zh-CN"/>
        </w:rPr>
        <w:t>方式</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（一）预报名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b/>
          <w:bCs/>
          <w:color w:val="auto"/>
          <w:sz w:val="32"/>
          <w:szCs w:val="32"/>
        </w:rPr>
        <w:t>202</w:t>
      </w:r>
      <w:r>
        <w:rPr>
          <w:rFonts w:hint="eastAsia" w:ascii="仿宋_GB2312" w:hAnsi="仿宋" w:eastAsia="仿宋_GB2312" w:cs="Times New Roman"/>
          <w:b/>
          <w:bCs/>
          <w:color w:val="auto"/>
          <w:sz w:val="32"/>
          <w:szCs w:val="32"/>
          <w:lang w:val="en-US" w:eastAsia="zh-CN"/>
        </w:rPr>
        <w:t>1</w:t>
      </w:r>
      <w:r>
        <w:rPr>
          <w:rFonts w:hint="eastAsia" w:ascii="仿宋_GB2312" w:hAnsi="仿宋" w:eastAsia="仿宋_GB2312" w:cs="Times New Roman"/>
          <w:b/>
          <w:bCs/>
          <w:color w:val="auto"/>
          <w:sz w:val="32"/>
          <w:szCs w:val="32"/>
        </w:rPr>
        <w:t>年1月</w:t>
      </w:r>
      <w:r>
        <w:rPr>
          <w:rFonts w:hint="eastAsia" w:ascii="仿宋_GB2312" w:hAnsi="仿宋" w:eastAsia="仿宋_GB2312" w:cs="Times New Roman"/>
          <w:b/>
          <w:bCs/>
          <w:color w:val="auto"/>
          <w:sz w:val="32"/>
          <w:szCs w:val="32"/>
          <w:lang w:val="en-US" w:eastAsia="zh-CN"/>
        </w:rPr>
        <w:t>25</w:t>
      </w:r>
      <w:r>
        <w:rPr>
          <w:rFonts w:hint="eastAsia" w:ascii="仿宋_GB2312" w:hAnsi="仿宋" w:eastAsia="仿宋_GB2312" w:cs="Times New Roman"/>
          <w:b/>
          <w:bCs/>
          <w:color w:val="auto"/>
          <w:sz w:val="32"/>
          <w:szCs w:val="32"/>
        </w:rPr>
        <w:t>日至</w:t>
      </w:r>
      <w:r>
        <w:rPr>
          <w:rFonts w:hint="eastAsia" w:ascii="仿宋_GB2312" w:hAnsi="仿宋" w:eastAsia="仿宋_GB2312" w:cs="Times New Roman"/>
          <w:b/>
          <w:bCs/>
          <w:color w:val="auto"/>
          <w:sz w:val="32"/>
          <w:szCs w:val="32"/>
          <w:lang w:val="en-US" w:eastAsia="zh-CN"/>
        </w:rPr>
        <w:t>28</w:t>
      </w:r>
      <w:r>
        <w:rPr>
          <w:rFonts w:hint="eastAsia" w:ascii="仿宋_GB2312" w:hAnsi="仿宋" w:eastAsia="仿宋_GB2312" w:cs="Times New Roman"/>
          <w:b/>
          <w:bCs/>
          <w:color w:val="auto"/>
          <w:sz w:val="32"/>
          <w:szCs w:val="32"/>
        </w:rPr>
        <w:t>日</w:t>
      </w:r>
      <w:r>
        <w:rPr>
          <w:rFonts w:hint="eastAsia" w:ascii="仿宋_GB2312" w:hAnsi="仿宋" w:eastAsia="仿宋_GB2312" w:cs="Times New Roman"/>
          <w:color w:val="auto"/>
          <w:sz w:val="32"/>
          <w:szCs w:val="32"/>
        </w:rPr>
        <w:t>为网上预报名时间，考生登录http://www.eeagd.edu.cn/ptzsbks，进入“广东省2021年普通高校专升本报名系统”进行预报名，阅读相关报考规定、要求，签订《诚信考试承诺书》，录入报名信息，绑定手机号，关注省教育考试院官微（gdsksy）小程序采集相片，上传资料，获取预报名号并设定密码</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考生须认真查阅</w:t>
      </w:r>
      <w:r>
        <w:rPr>
          <w:rFonts w:hint="eastAsia" w:ascii="仿宋_GB2312" w:hAnsi="仿宋" w:eastAsia="仿宋_GB2312" w:cs="Times New Roman"/>
          <w:color w:val="auto"/>
          <w:sz w:val="32"/>
          <w:szCs w:val="32"/>
          <w:lang w:eastAsia="zh-CN"/>
        </w:rPr>
        <w:t>我校</w:t>
      </w:r>
      <w:r>
        <w:rPr>
          <w:rFonts w:hint="eastAsia" w:ascii="仿宋_GB2312" w:hAnsi="仿宋" w:eastAsia="仿宋_GB2312" w:cs="Times New Roman"/>
          <w:color w:val="auto"/>
          <w:sz w:val="32"/>
          <w:szCs w:val="32"/>
        </w:rPr>
        <w:t>的招生简章和《广东省2021年普通高等学校专升本招生专业目录及考试要求》，详细了解招生专业的相关要求。按学科门类选择专业基础课科目；对于专业综合课，考生要结合自身拟报考院校及专业实际，选择报考省统考或院校自命题科目，也可同时报</w:t>
      </w:r>
      <w:r>
        <w:rPr>
          <w:rFonts w:hint="eastAsia" w:ascii="仿宋_GB2312" w:hAnsi="仿宋" w:eastAsia="仿宋_GB2312" w:cs="Times New Roman"/>
          <w:color w:val="auto"/>
          <w:sz w:val="32"/>
          <w:szCs w:val="32"/>
          <w:lang w:eastAsia="zh-CN"/>
        </w:rPr>
        <w:t>考</w:t>
      </w:r>
      <w:r>
        <w:rPr>
          <w:rFonts w:hint="eastAsia" w:ascii="仿宋_GB2312" w:hAnsi="仿宋" w:eastAsia="仿宋_GB2312" w:cs="Times New Roman"/>
          <w:color w:val="auto"/>
          <w:sz w:val="32"/>
          <w:szCs w:val="32"/>
        </w:rPr>
        <w:t>1个省统考科目和1个院校自命题科目。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考生须自行进行在线专科学历学籍验证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尚未取得专科毕业证书的</w:t>
      </w:r>
      <w:r>
        <w:rPr>
          <w:rFonts w:hint="eastAsia" w:ascii="仿宋_GB2312" w:hAnsi="仿宋" w:eastAsia="仿宋_GB2312" w:cs="Times New Roman"/>
          <w:b/>
          <w:bCs/>
          <w:color w:val="auto"/>
          <w:sz w:val="32"/>
          <w:szCs w:val="32"/>
        </w:rPr>
        <w:t>普通高校应届专科毕业生</w:t>
      </w:r>
      <w:r>
        <w:rPr>
          <w:rFonts w:hint="eastAsia" w:ascii="仿宋_GB2312" w:hAnsi="仿宋" w:eastAsia="仿宋_GB2312" w:cs="Times New Roman"/>
          <w:color w:val="auto"/>
          <w:sz w:val="32"/>
          <w:szCs w:val="32"/>
        </w:rPr>
        <w:t>，在网上报名时须在报名系统“</w:t>
      </w:r>
      <w:r>
        <w:rPr>
          <w:rFonts w:hint="eastAsia" w:ascii="仿宋_GB2312" w:hAnsi="仿宋" w:eastAsia="仿宋_GB2312" w:cs="Times New Roman"/>
          <w:b/>
          <w:bCs/>
          <w:color w:val="auto"/>
          <w:sz w:val="32"/>
          <w:szCs w:val="32"/>
        </w:rPr>
        <w:t>专科学籍查验</w:t>
      </w:r>
      <w:r>
        <w:rPr>
          <w:rFonts w:hint="eastAsia" w:ascii="仿宋_GB2312" w:hAnsi="仿宋" w:eastAsia="仿宋_GB2312" w:cs="Times New Roman"/>
          <w:color w:val="auto"/>
          <w:sz w:val="32"/>
          <w:szCs w:val="32"/>
        </w:rPr>
        <w:t>”模块输入本人身份证号码和姓名等信息，进行专科学籍查验，由系统反馈验证结果。验证结果分“通过”和“不通过”两种。学籍查验“不通过”的考生，不予报考。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b/>
          <w:bCs/>
          <w:color w:val="auto"/>
          <w:sz w:val="32"/>
          <w:szCs w:val="32"/>
        </w:rPr>
        <w:t>已取得专科毕业证书的往届考生</w:t>
      </w:r>
      <w:r>
        <w:rPr>
          <w:rFonts w:hint="eastAsia" w:ascii="仿宋_GB2312" w:hAnsi="仿宋" w:eastAsia="仿宋_GB2312" w:cs="Times New Roman"/>
          <w:color w:val="auto"/>
          <w:sz w:val="32"/>
          <w:szCs w:val="32"/>
        </w:rPr>
        <w:t>，在网上报名时须在报名系统“</w:t>
      </w:r>
      <w:r>
        <w:rPr>
          <w:rFonts w:hint="eastAsia" w:ascii="仿宋_GB2312" w:hAnsi="仿宋" w:eastAsia="仿宋_GB2312" w:cs="Times New Roman"/>
          <w:b/>
          <w:bCs/>
          <w:color w:val="auto"/>
          <w:sz w:val="32"/>
          <w:szCs w:val="32"/>
        </w:rPr>
        <w:t>专科学历验证</w:t>
      </w:r>
      <w:r>
        <w:rPr>
          <w:rFonts w:hint="eastAsia" w:ascii="仿宋_GB2312" w:hAnsi="仿宋" w:eastAsia="仿宋_GB2312" w:cs="Times New Roman"/>
          <w:color w:val="auto"/>
          <w:sz w:val="32"/>
          <w:szCs w:val="32"/>
        </w:rPr>
        <w:t>”模块输入专科毕业证书信息，进行专科学历验证，由系统反馈验证结果。验证结果分“通过”和“不通过”两种。学历验证结果为“不通过”的考生，须自行前往学信网（https://www.chsi.com.cn/xlrz/index.jsp）网上申请专科学历认证</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在报名期间还未获得学历认证报告或电子注册备案表的考生，可选择“申请补学历认证报告或电子注册备案表”，阅读并签订“补报资料承诺书”后，考生须</w:t>
      </w:r>
      <w:r>
        <w:rPr>
          <w:rFonts w:hint="eastAsia" w:ascii="仿宋_GB2312" w:hAnsi="仿宋" w:eastAsia="仿宋_GB2312" w:cs="Times New Roman"/>
          <w:color w:val="auto"/>
          <w:sz w:val="32"/>
          <w:szCs w:val="32"/>
          <w:lang w:eastAsia="zh-CN"/>
        </w:rPr>
        <w:t>在</w:t>
      </w:r>
      <w:r>
        <w:rPr>
          <w:rFonts w:hint="eastAsia" w:ascii="仿宋_GB2312" w:hAnsi="仿宋" w:eastAsia="仿宋_GB2312" w:cs="Times New Roman"/>
          <w:color w:val="auto"/>
          <w:sz w:val="32"/>
          <w:szCs w:val="32"/>
        </w:rPr>
        <w:t>2021年3月31日将学历认证报告或电子注册备案表上传至报名系统，由省招生办审核，逾期未提交学历认证报告或电子注册备案表</w:t>
      </w:r>
      <w:r>
        <w:rPr>
          <w:rFonts w:hint="eastAsia" w:ascii="仿宋_GB2312" w:hAnsi="仿宋" w:eastAsia="仿宋_GB2312" w:cs="Times New Roman"/>
          <w:color w:val="auto"/>
          <w:sz w:val="32"/>
          <w:szCs w:val="32"/>
          <w:lang w:eastAsia="zh-CN"/>
        </w:rPr>
        <w:t>的考生，将被</w:t>
      </w:r>
      <w:r>
        <w:rPr>
          <w:rFonts w:hint="eastAsia" w:ascii="仿宋_GB2312" w:hAnsi="仿宋" w:eastAsia="仿宋_GB2312" w:cs="Times New Roman"/>
          <w:color w:val="auto"/>
          <w:sz w:val="32"/>
          <w:szCs w:val="32"/>
        </w:rPr>
        <w:t>取消报考资格,不予打印准考证,不安排考试。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考生在报名前可以根据本人专科毕业的实际情况提前办理学历认证报告或电子注册备案表。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color w:val="auto"/>
          <w:sz w:val="32"/>
          <w:szCs w:val="32"/>
        </w:rPr>
        <w:t>在广东省参加普通高考，就读外省普通高校的应届专科毕业生。预报名时须自行进行在线专科学籍验证，在填报信息获取预报名号后，还需在专科学历学籍验证界面上点击“验证专科录取信息”按钮进行普通高校专科录取信息验证，由系统反馈验证结果。验证结果分“通过”和“不通过”两种，验证结果为“通过”的考生才能上传报名资料供审核；验证结果为“不通过”的考生（姓名、身份证号与专科录取时的不相符），可咨询广东省教育考试院，联系电话：020-89338633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3.</w:t>
      </w:r>
      <w:r>
        <w:rPr>
          <w:rFonts w:hint="eastAsia" w:ascii="仿宋_GB2312" w:hAnsi="仿宋" w:eastAsia="仿宋_GB2312" w:cs="Times New Roman"/>
          <w:color w:val="auto"/>
          <w:sz w:val="32"/>
          <w:szCs w:val="32"/>
        </w:rPr>
        <w:t>参加</w:t>
      </w:r>
      <w:r>
        <w:rPr>
          <w:rFonts w:hint="eastAsia" w:ascii="仿宋_GB2312" w:hAnsi="仿宋" w:eastAsia="仿宋_GB2312" w:cs="Times New Roman"/>
          <w:b/>
          <w:bCs/>
          <w:color w:val="auto"/>
          <w:sz w:val="32"/>
          <w:szCs w:val="32"/>
          <w:lang w:val="en-US" w:eastAsia="zh-CN"/>
        </w:rPr>
        <w:t>自学考试</w:t>
      </w:r>
      <w:r>
        <w:rPr>
          <w:rFonts w:hint="eastAsia" w:ascii="仿宋_GB2312" w:hAnsi="仿宋" w:eastAsia="仿宋_GB2312" w:cs="Times New Roman"/>
          <w:color w:val="auto"/>
          <w:sz w:val="32"/>
          <w:szCs w:val="32"/>
        </w:rPr>
        <w:t>且已获得专业考试计划规定的全部课程合格成绩，符合毕业条件，已成功办理2020年12月毕业手续，但未领取毕业证书的自学考试毕业生可以报考，在预报名时填报信息获取预报名号后，点击“自考毕业情况验证”，由系统反馈验证结果。验证结果分“通过”和“不通过”两种，验证结果为“通过”的考生才能上传报名资料供审核，验证结果为“不通过”的考生，不予报考。</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（二）资料上传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考生须将以下资料扫描或拍照上传上传至“广东省2021年普通高校专升本报名系统”（须确保资料真实、完整、清晰）：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1.普通高校</w:t>
      </w:r>
      <w:r>
        <w:rPr>
          <w:rFonts w:hint="eastAsia" w:ascii="仿宋_GB2312" w:hAnsi="仿宋" w:eastAsia="仿宋_GB2312" w:cs="Times New Roman"/>
          <w:b/>
          <w:bCs/>
          <w:color w:val="auto"/>
          <w:sz w:val="32"/>
          <w:szCs w:val="32"/>
          <w:lang w:val="en-US" w:eastAsia="zh-CN"/>
        </w:rPr>
        <w:t>应届专科毕业生</w:t>
      </w:r>
      <w:r>
        <w:rPr>
          <w:rFonts w:hint="eastAsia" w:ascii="仿宋_GB2312" w:hAnsi="仿宋" w:eastAsia="仿宋_GB2312" w:cs="Times New Roman"/>
          <w:color w:val="auto"/>
          <w:sz w:val="32"/>
          <w:szCs w:val="32"/>
          <w:lang w:val="en-US" w:eastAsia="zh-CN"/>
        </w:rPr>
        <w:t>：①户口本（首页、本人姓名页）；②体检表。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b/>
          <w:bCs/>
          <w:color w:val="auto"/>
          <w:sz w:val="32"/>
          <w:szCs w:val="32"/>
          <w:lang w:val="en-US" w:eastAsia="zh-CN"/>
        </w:rPr>
        <w:t>已取得专科毕业证的考生</w:t>
      </w:r>
      <w:r>
        <w:rPr>
          <w:rFonts w:hint="eastAsia" w:ascii="仿宋_GB2312" w:hAnsi="仿宋" w:eastAsia="仿宋_GB2312" w:cs="Times New Roman"/>
          <w:color w:val="auto"/>
          <w:sz w:val="32"/>
          <w:szCs w:val="32"/>
        </w:rPr>
        <w:t>：①户口本（首页、本人姓名页）；②体检表；③学历验证结果为“不通过”的，考生</w:t>
      </w:r>
      <w:r>
        <w:rPr>
          <w:rFonts w:hint="eastAsia" w:ascii="仿宋_GB2312" w:hAnsi="仿宋" w:eastAsia="仿宋_GB2312" w:cs="Times New Roman"/>
          <w:color w:val="auto"/>
          <w:sz w:val="32"/>
          <w:szCs w:val="32"/>
          <w:lang w:eastAsia="zh-CN"/>
        </w:rPr>
        <w:t>还</w:t>
      </w:r>
      <w:r>
        <w:rPr>
          <w:rFonts w:hint="eastAsia" w:ascii="仿宋_GB2312" w:hAnsi="仿宋" w:eastAsia="仿宋_GB2312" w:cs="Times New Roman"/>
          <w:color w:val="auto"/>
          <w:sz w:val="32"/>
          <w:szCs w:val="32"/>
        </w:rPr>
        <w:t>须上传专科毕业证书</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学历认证报告（或电子注册备案表）。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3.参加</w:t>
      </w:r>
      <w:r>
        <w:rPr>
          <w:rFonts w:hint="eastAsia" w:ascii="仿宋_GB2312" w:hAnsi="仿宋" w:eastAsia="仿宋_GB2312" w:cs="Times New Roman"/>
          <w:b/>
          <w:bCs/>
          <w:color w:val="auto"/>
          <w:sz w:val="32"/>
          <w:szCs w:val="32"/>
          <w:lang w:val="en-US" w:eastAsia="zh-CN"/>
        </w:rPr>
        <w:t>自学考试</w:t>
      </w:r>
      <w:r>
        <w:rPr>
          <w:rFonts w:hint="eastAsia" w:ascii="仿宋_GB2312" w:hAnsi="仿宋" w:eastAsia="仿宋_GB2312" w:cs="Times New Roman"/>
          <w:color w:val="auto"/>
          <w:sz w:val="32"/>
          <w:szCs w:val="32"/>
          <w:lang w:val="en-US" w:eastAsia="zh-CN"/>
        </w:rPr>
        <w:t>且已获得专业考试计划规定的全部课程合格成绩，符合毕业条件，已成功办理2020年12月毕业手续，但未领取毕业证书的自学考试毕业生，在报名系统中“自考毕业情况验证”结果为“通过</w:t>
      </w:r>
      <w:r>
        <w:rPr>
          <w:rFonts w:hint="eastAsia" w:ascii="仿宋_GB2312" w:hAnsi="仿宋" w:eastAsia="仿宋_GB2312" w:cs="Times New Roman"/>
          <w:color w:val="auto"/>
          <w:sz w:val="32"/>
          <w:szCs w:val="32"/>
        </w:rPr>
        <w:t>”的考生：①户口本（首页、本人姓名页）；②体检表。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4.</w:t>
      </w:r>
      <w:r>
        <w:rPr>
          <w:rFonts w:hint="eastAsia" w:ascii="仿宋_GB2312" w:hAnsi="仿宋" w:eastAsia="仿宋_GB2312" w:cs="Times New Roman"/>
          <w:color w:val="auto"/>
          <w:sz w:val="32"/>
          <w:szCs w:val="32"/>
        </w:rPr>
        <w:t>服义务</w:t>
      </w:r>
      <w:r>
        <w:rPr>
          <w:rFonts w:hint="eastAsia" w:ascii="仿宋_GB2312" w:hAnsi="仿宋" w:eastAsia="仿宋_GB2312" w:cs="Times New Roman"/>
          <w:b/>
          <w:bCs/>
          <w:color w:val="auto"/>
          <w:sz w:val="32"/>
          <w:szCs w:val="32"/>
          <w:lang w:val="en-US" w:eastAsia="zh-CN"/>
        </w:rPr>
        <w:t>兵役退役</w:t>
      </w:r>
      <w:r>
        <w:rPr>
          <w:rFonts w:hint="eastAsia" w:ascii="仿宋_GB2312" w:hAnsi="仿宋" w:eastAsia="仿宋_GB2312" w:cs="Times New Roman"/>
          <w:color w:val="auto"/>
          <w:sz w:val="32"/>
          <w:szCs w:val="32"/>
        </w:rPr>
        <w:t>的普通高校专科毕业生：除上述第1、2点所涉及的有关应届或往届的报名资料外，还须上传:①专科毕业证书；②义务兵退出现役证；③服义务兵役期间荣立三等功及以上奖励的高职（专科）退役士兵考生，须上传立功登记表、立功证书等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5.</w:t>
      </w:r>
      <w:r>
        <w:rPr>
          <w:rFonts w:hint="eastAsia" w:ascii="仿宋_GB2312" w:hAnsi="仿宋" w:eastAsia="仿宋_GB2312" w:cs="Times New Roman"/>
          <w:b/>
          <w:bCs/>
          <w:color w:val="auto"/>
          <w:sz w:val="32"/>
          <w:szCs w:val="32"/>
          <w:lang w:val="en-US" w:eastAsia="zh-CN"/>
        </w:rPr>
        <w:t>非广东户籍报考建档立卡类别</w:t>
      </w:r>
      <w:r>
        <w:rPr>
          <w:rFonts w:hint="eastAsia" w:ascii="仿宋_GB2312" w:hAnsi="仿宋" w:eastAsia="仿宋_GB2312" w:cs="Times New Roman"/>
          <w:color w:val="auto"/>
          <w:sz w:val="32"/>
          <w:szCs w:val="32"/>
        </w:rPr>
        <w:t>的，考生还须上传有关建档立卡的证明资料。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6.</w:t>
      </w:r>
      <w:r>
        <w:rPr>
          <w:rFonts w:hint="eastAsia" w:ascii="仿宋_GB2312" w:hAnsi="仿宋" w:eastAsia="仿宋_GB2312" w:cs="Times New Roman"/>
          <w:color w:val="auto"/>
          <w:sz w:val="32"/>
          <w:szCs w:val="32"/>
        </w:rPr>
        <w:t>符合</w:t>
      </w:r>
      <w:r>
        <w:rPr>
          <w:rFonts w:hint="eastAsia" w:ascii="仿宋_GB2312" w:hAnsi="仿宋" w:eastAsia="仿宋_GB2312" w:cs="Times New Roman"/>
          <w:color w:val="auto"/>
          <w:sz w:val="32"/>
          <w:szCs w:val="32"/>
          <w:lang w:eastAsia="zh-CN"/>
        </w:rPr>
        <w:t>广东</w:t>
      </w:r>
      <w:r>
        <w:rPr>
          <w:rFonts w:hint="eastAsia" w:ascii="仿宋_GB2312" w:hAnsi="仿宋" w:eastAsia="仿宋_GB2312" w:cs="Times New Roman"/>
          <w:color w:val="auto"/>
          <w:sz w:val="32"/>
          <w:szCs w:val="32"/>
        </w:rPr>
        <w:t>省招生委员会有关规定加分照顾政策的，考生还须在报名结束前上传相应的获奖证书等证明资料。省招生办审核后，普通专升本录取前在广东省教育考试院网站公示符合加分资格的考生名单。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7.考生须依据《广东省2021年普通高校专升本招生体格检查表》（附件6）的规定，并在</w:t>
      </w:r>
      <w:r>
        <w:rPr>
          <w:rFonts w:hint="eastAsia" w:ascii="仿宋_GB2312" w:hAnsi="仿宋" w:eastAsia="仿宋_GB2312" w:cs="Times New Roman"/>
          <w:b/>
          <w:bCs/>
          <w:color w:val="auto"/>
          <w:sz w:val="32"/>
          <w:szCs w:val="32"/>
          <w:lang w:val="en-US" w:eastAsia="zh-CN"/>
        </w:rPr>
        <w:t>2021年1月1日至2021年4月30日自行前往二级甲等（含）以上医院或相应的医疗单位进行体检，填报志愿开始前将体检结果上传至报名系统中。</w:t>
      </w:r>
      <w:r>
        <w:rPr>
          <w:rFonts w:hint="eastAsia" w:ascii="仿宋_GB2312" w:hAnsi="仿宋" w:eastAsia="仿宋_GB2312" w:cs="Times New Roman"/>
          <w:color w:val="auto"/>
          <w:sz w:val="32"/>
          <w:szCs w:val="32"/>
          <w:lang w:val="en-US" w:eastAsia="zh-CN"/>
        </w:rPr>
        <w:t>被录取的考生入学后，由学校进行身体复检，复检不合格者取消入学资格。考生应根据自己的身体状况慎重报考。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根据国务院全面推动证明事项等告知承诺制度要求，考生须认真按要求填报相关信息及上传相关材料，并确保所提供的信息及材料的真实性。考生如凭无效证件或其他不符合报考条件的证件报名，一旦发现，取消考生报名资格，已录取考生取消其报名及录取资格。</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（三）网上审核与报考费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1.确认审核结果。</w:t>
      </w:r>
      <w:r>
        <w:rPr>
          <w:rFonts w:hint="eastAsia" w:ascii="仿宋_GB2312" w:hAnsi="仿宋" w:eastAsia="仿宋_GB2312" w:cs="Times New Roman"/>
          <w:color w:val="auto"/>
          <w:sz w:val="32"/>
          <w:szCs w:val="32"/>
        </w:rPr>
        <w:t>考生提交预报名资料后，省招生办在48小时内完成</w:t>
      </w:r>
      <w:r>
        <w:rPr>
          <w:rFonts w:hint="eastAsia" w:ascii="仿宋_GB2312" w:hAnsi="仿宋" w:eastAsia="仿宋_GB2312" w:cs="Times New Roman"/>
          <w:color w:val="auto"/>
          <w:sz w:val="32"/>
          <w:szCs w:val="32"/>
          <w:lang w:eastAsia="zh-CN"/>
        </w:rPr>
        <w:t>报考省统考的考生</w:t>
      </w:r>
      <w:r>
        <w:rPr>
          <w:rFonts w:hint="eastAsia" w:ascii="仿宋_GB2312" w:hAnsi="仿宋" w:eastAsia="仿宋_GB2312" w:cs="Times New Roman"/>
          <w:color w:val="auto"/>
          <w:sz w:val="32"/>
          <w:szCs w:val="32"/>
        </w:rPr>
        <w:t>资料审核</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考生选报</w:t>
      </w:r>
      <w:r>
        <w:rPr>
          <w:rFonts w:hint="eastAsia" w:ascii="仿宋_GB2312" w:hAnsi="仿宋" w:eastAsia="仿宋_GB2312" w:cs="Times New Roman"/>
          <w:color w:val="auto"/>
          <w:sz w:val="32"/>
          <w:szCs w:val="32"/>
          <w:lang w:eastAsia="zh-CN"/>
        </w:rPr>
        <w:t>我校</w:t>
      </w:r>
      <w:r>
        <w:rPr>
          <w:rFonts w:hint="eastAsia" w:ascii="仿宋_GB2312" w:hAnsi="仿宋" w:eastAsia="仿宋_GB2312" w:cs="Times New Roman"/>
          <w:color w:val="auto"/>
          <w:sz w:val="32"/>
          <w:szCs w:val="32"/>
        </w:rPr>
        <w:t>自命题</w:t>
      </w:r>
      <w:r>
        <w:rPr>
          <w:rFonts w:hint="eastAsia" w:ascii="仿宋_GB2312" w:hAnsi="仿宋" w:eastAsia="仿宋_GB2312" w:cs="Times New Roman"/>
          <w:color w:val="auto"/>
          <w:sz w:val="32"/>
          <w:szCs w:val="32"/>
          <w:lang w:eastAsia="zh-CN"/>
        </w:rPr>
        <w:t>考试</w:t>
      </w:r>
      <w:r>
        <w:rPr>
          <w:rFonts w:hint="eastAsia" w:ascii="仿宋_GB2312" w:hAnsi="仿宋" w:eastAsia="仿宋_GB2312" w:cs="Times New Roman"/>
          <w:color w:val="auto"/>
          <w:sz w:val="32"/>
          <w:szCs w:val="32"/>
        </w:rPr>
        <w:t>的，由</w:t>
      </w:r>
      <w:r>
        <w:rPr>
          <w:rFonts w:hint="eastAsia" w:ascii="仿宋_GB2312" w:hAnsi="仿宋" w:eastAsia="仿宋_GB2312" w:cs="Times New Roman"/>
          <w:color w:val="auto"/>
          <w:sz w:val="32"/>
          <w:szCs w:val="32"/>
          <w:lang w:eastAsia="zh-CN"/>
        </w:rPr>
        <w:t>我校</w:t>
      </w:r>
      <w:r>
        <w:rPr>
          <w:rFonts w:hint="eastAsia" w:ascii="仿宋_GB2312" w:hAnsi="仿宋" w:eastAsia="仿宋_GB2312" w:cs="Times New Roman"/>
          <w:color w:val="auto"/>
          <w:sz w:val="32"/>
          <w:szCs w:val="32"/>
        </w:rPr>
        <w:t>进行初审</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初审合格的考生提交省招生办进行复核。1月30日18:00前完成所有预报名考生资料审核。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color w:val="auto"/>
          <w:sz w:val="32"/>
          <w:szCs w:val="32"/>
        </w:rPr>
        <w:t>考生可登录系统查看报名资格审核结果，审核结果为“通过”或“待验证”的考生可以交费</w:t>
      </w:r>
      <w:r>
        <w:rPr>
          <w:rFonts w:hint="eastAsia" w:ascii="仿宋_GB2312" w:hAnsi="仿宋" w:eastAsia="仿宋_GB2312" w:cs="Times New Roman"/>
          <w:color w:val="auto"/>
          <w:sz w:val="32"/>
          <w:szCs w:val="32"/>
          <w:lang w:eastAsia="zh-CN"/>
        </w:rPr>
        <w:t>，确认报名资格。</w:t>
      </w:r>
      <w:r>
        <w:rPr>
          <w:rFonts w:hint="eastAsia" w:ascii="仿宋_GB2312" w:hAnsi="仿宋" w:eastAsia="仿宋_GB2312" w:cs="Times New Roman"/>
          <w:b/>
          <w:bCs/>
          <w:color w:val="auto"/>
          <w:sz w:val="32"/>
          <w:szCs w:val="32"/>
          <w:lang w:val="en-US" w:eastAsia="zh-CN"/>
        </w:rPr>
        <w:t>审核结果为“不通过”的，考生根据反馈不通过的原因，须在1月31日18：00前上传补充资料，逾期未上传补充资料的，视为放弃报名。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bCs/>
          <w:color w:val="auto"/>
          <w:sz w:val="32"/>
          <w:szCs w:val="32"/>
        </w:rPr>
      </w:pPr>
      <w:r>
        <w:rPr>
          <w:rFonts w:hint="eastAsia" w:ascii="仿宋_GB2312" w:hAnsi="仿宋" w:eastAsia="仿宋_GB2312" w:cs="Times New Roman"/>
          <w:color w:val="auto"/>
          <w:sz w:val="32"/>
          <w:szCs w:val="32"/>
          <w:lang w:val="en-US" w:eastAsia="zh-CN"/>
        </w:rPr>
        <w:t>2.报考费。</w:t>
      </w:r>
      <w:r>
        <w:rPr>
          <w:rFonts w:hint="eastAsia" w:ascii="仿宋_GB2312" w:hAnsi="仿宋" w:eastAsia="仿宋_GB2312" w:cs="Times New Roman"/>
          <w:color w:val="auto"/>
          <w:sz w:val="32"/>
          <w:szCs w:val="32"/>
        </w:rPr>
        <w:t>报名考生需交报考费40元/科。</w:t>
      </w:r>
      <w:r>
        <w:rPr>
          <w:rFonts w:hint="eastAsia" w:ascii="仿宋_GB2312" w:hAnsi="仿宋" w:eastAsia="仿宋_GB2312" w:cs="Times New Roman"/>
          <w:b/>
          <w:bCs/>
          <w:color w:val="auto"/>
          <w:sz w:val="32"/>
          <w:szCs w:val="32"/>
          <w:lang w:val="en-US" w:eastAsia="zh-CN"/>
        </w:rPr>
        <w:t>网上交费截止时间为2月2日17:00。</w:t>
      </w:r>
      <w:r>
        <w:rPr>
          <w:rFonts w:hint="eastAsia" w:ascii="仿宋_GB2312" w:hAnsi="仿宋" w:eastAsia="仿宋_GB2312" w:cs="Times New Roman"/>
          <w:b/>
          <w:bCs/>
          <w:color w:val="auto"/>
          <w:sz w:val="32"/>
          <w:szCs w:val="32"/>
        </w:rPr>
        <w:t>交费成功的考生才能参加编排考场座位、打印准考证；</w:t>
      </w:r>
      <w:r>
        <w:rPr>
          <w:rFonts w:hint="eastAsia" w:ascii="仿宋_GB2312" w:hAnsi="仿宋" w:eastAsia="仿宋_GB2312" w:cs="Times New Roman"/>
          <w:b/>
          <w:bCs/>
          <w:color w:val="auto"/>
          <w:sz w:val="32"/>
          <w:szCs w:val="32"/>
          <w:lang w:eastAsia="zh-CN"/>
        </w:rPr>
        <w:t>否则</w:t>
      </w:r>
      <w:r>
        <w:rPr>
          <w:rFonts w:hint="eastAsia" w:ascii="仿宋_GB2312" w:hAnsi="仿宋" w:eastAsia="仿宋_GB2312" w:cs="Times New Roman"/>
          <w:b/>
          <w:bCs/>
          <w:color w:val="auto"/>
          <w:sz w:val="32"/>
          <w:szCs w:val="32"/>
        </w:rPr>
        <w:t>视为放弃报名资格。</w:t>
      </w:r>
      <w:r>
        <w:rPr>
          <w:rFonts w:hint="eastAsia" w:ascii="仿宋_GB2312" w:hAnsi="仿宋" w:eastAsia="仿宋_GB2312" w:cs="Times New Roman"/>
          <w:b/>
          <w:bCs/>
          <w:color w:val="auto"/>
          <w:sz w:val="32"/>
          <w:szCs w:val="32"/>
          <w:lang w:eastAsia="zh-CN"/>
        </w:rPr>
        <w:t>交费后自动放弃考试资格的，</w:t>
      </w:r>
      <w:r>
        <w:rPr>
          <w:rFonts w:hint="eastAsia" w:ascii="仿宋_GB2312" w:hAnsi="仿宋" w:eastAsia="仿宋_GB2312" w:cs="Times New Roman"/>
          <w:b/>
          <w:bCs/>
          <w:color w:val="auto"/>
          <w:sz w:val="32"/>
          <w:szCs w:val="32"/>
        </w:rPr>
        <w:t>不予退回报考费。</w:t>
      </w:r>
    </w:p>
    <w:p>
      <w:pPr>
        <w:pStyle w:val="4"/>
        <w:pageBreakBefore w:val="0"/>
        <w:kinsoku/>
        <w:wordWrap/>
        <w:overflowPunct/>
        <w:topLinePunct w:val="0"/>
        <w:autoSpaceDE/>
        <w:autoSpaceDN/>
        <w:bidi w:val="0"/>
        <w:spacing w:line="550" w:lineRule="exact"/>
        <w:ind w:firstLine="640" w:firstLineChars="200"/>
        <w:textAlignment w:val="auto"/>
        <w:outlineLvl w:val="0"/>
        <w:rPr>
          <w:rFonts w:hint="default" w:ascii="黑体" w:hAnsi="黑体" w:eastAsia="黑体"/>
          <w:color w:val="auto"/>
          <w:sz w:val="32"/>
          <w:szCs w:val="32"/>
          <w:lang w:val="en-US" w:eastAsia="zh-CN"/>
        </w:rPr>
      </w:pPr>
      <w:r>
        <w:rPr>
          <w:rFonts w:hint="eastAsia" w:ascii="黑体" w:hAnsi="黑体" w:eastAsia="黑体"/>
          <w:color w:val="auto"/>
          <w:sz w:val="32"/>
          <w:szCs w:val="32"/>
          <w:lang w:eastAsia="zh-CN"/>
        </w:rPr>
        <w:t>三</w:t>
      </w:r>
      <w:r>
        <w:rPr>
          <w:rFonts w:hint="eastAsia" w:ascii="黑体" w:hAnsi="黑体" w:eastAsia="黑体"/>
          <w:color w:val="auto"/>
          <w:sz w:val="32"/>
          <w:szCs w:val="32"/>
        </w:rPr>
        <w:t>、</w:t>
      </w:r>
      <w:r>
        <w:rPr>
          <w:rFonts w:hint="eastAsia" w:ascii="黑体" w:hAnsi="黑体" w:eastAsia="黑体"/>
          <w:color w:val="auto"/>
          <w:sz w:val="32"/>
          <w:szCs w:val="32"/>
          <w:lang w:eastAsia="zh-CN"/>
        </w:rPr>
        <w:t>肇庆学院</w:t>
      </w:r>
      <w:r>
        <w:rPr>
          <w:rFonts w:hint="eastAsia" w:ascii="黑体" w:hAnsi="黑体" w:eastAsia="黑体"/>
          <w:color w:val="auto"/>
          <w:sz w:val="32"/>
          <w:szCs w:val="32"/>
          <w:lang w:val="en-US" w:eastAsia="zh-CN"/>
        </w:rPr>
        <w:t>2021年普通专升本</w:t>
      </w:r>
      <w:r>
        <w:rPr>
          <w:rFonts w:hint="eastAsia" w:ascii="黑体" w:hAnsi="黑体" w:eastAsia="黑体"/>
          <w:color w:val="auto"/>
          <w:sz w:val="32"/>
          <w:szCs w:val="32"/>
        </w:rPr>
        <w:t>招生计划</w:t>
      </w:r>
      <w:r>
        <w:rPr>
          <w:rFonts w:hint="eastAsia" w:ascii="黑体" w:hAnsi="黑体" w:eastAsia="黑体"/>
          <w:color w:val="auto"/>
          <w:sz w:val="32"/>
          <w:szCs w:val="32"/>
          <w:lang w:val="en-US" w:eastAsia="zh-CN"/>
        </w:rPr>
        <w:t>及考试科目</w:t>
      </w:r>
    </w:p>
    <w:tbl>
      <w:tblPr>
        <w:tblStyle w:val="9"/>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343"/>
        <w:gridCol w:w="1294"/>
        <w:gridCol w:w="780"/>
        <w:gridCol w:w="678"/>
        <w:gridCol w:w="716"/>
        <w:gridCol w:w="767"/>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学科</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门类</w:t>
            </w:r>
          </w:p>
        </w:tc>
        <w:tc>
          <w:tcPr>
            <w:tcW w:w="23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r>
              <w:rPr>
                <w:rFonts w:hint="eastAsia" w:ascii="仿宋" w:hAnsi="仿宋" w:eastAsia="仿宋" w:cs="仿宋"/>
                <w:b/>
                <w:bCs/>
                <w:sz w:val="18"/>
                <w:szCs w:val="18"/>
              </w:rPr>
              <w:t>招生专业</w:t>
            </w:r>
          </w:p>
        </w:tc>
        <w:tc>
          <w:tcPr>
            <w:tcW w:w="12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r>
              <w:rPr>
                <w:rFonts w:hint="eastAsia" w:ascii="仿宋" w:hAnsi="仿宋" w:eastAsia="仿宋" w:cs="仿宋"/>
                <w:b/>
                <w:bCs/>
                <w:sz w:val="18"/>
                <w:szCs w:val="18"/>
              </w:rPr>
              <w:t>计划数</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r>
              <w:rPr>
                <w:rFonts w:hint="eastAsia" w:ascii="仿宋" w:hAnsi="仿宋" w:eastAsia="仿宋" w:cs="仿宋"/>
                <w:b/>
                <w:bCs/>
                <w:sz w:val="18"/>
                <w:szCs w:val="18"/>
              </w:rPr>
              <w:t>学费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r>
              <w:rPr>
                <w:rFonts w:hint="eastAsia" w:ascii="仿宋" w:hAnsi="仿宋" w:eastAsia="仿宋" w:cs="仿宋"/>
                <w:b/>
                <w:bCs/>
                <w:sz w:val="15"/>
                <w:szCs w:val="15"/>
              </w:rPr>
              <w:t>(元/学年)</w:t>
            </w:r>
          </w:p>
        </w:tc>
        <w:tc>
          <w:tcPr>
            <w:tcW w:w="344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r>
              <w:rPr>
                <w:rFonts w:hint="eastAsia" w:ascii="仿宋" w:hAnsi="仿宋" w:eastAsia="仿宋" w:cs="仿宋"/>
                <w:b/>
                <w:bCs/>
                <w:sz w:val="18"/>
                <w:szCs w:val="18"/>
                <w:lang w:eastAsia="zh-CN"/>
              </w:rPr>
              <w:t>202</w:t>
            </w:r>
            <w:r>
              <w:rPr>
                <w:rFonts w:hint="eastAsia" w:ascii="仿宋" w:hAnsi="仿宋" w:eastAsia="仿宋" w:cs="仿宋"/>
                <w:b/>
                <w:bCs/>
                <w:sz w:val="18"/>
                <w:szCs w:val="18"/>
                <w:lang w:val="en-US" w:eastAsia="zh-CN"/>
              </w:rPr>
              <w:t>0</w:t>
            </w:r>
            <w:r>
              <w:rPr>
                <w:rFonts w:hint="eastAsia" w:ascii="仿宋" w:hAnsi="仿宋" w:eastAsia="仿宋" w:cs="仿宋"/>
                <w:b/>
                <w:bCs/>
                <w:sz w:val="18"/>
                <w:szCs w:val="18"/>
              </w:rPr>
              <w:t>年报考及录取情况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p>
        </w:tc>
        <w:tc>
          <w:tcPr>
            <w:tcW w:w="23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p>
        </w:tc>
        <w:tc>
          <w:tcPr>
            <w:tcW w:w="129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p>
        </w:tc>
        <w:tc>
          <w:tcPr>
            <w:tcW w:w="780"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计划数</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kern w:val="2"/>
                <w:sz w:val="18"/>
                <w:szCs w:val="18"/>
                <w:lang w:val="en-US" w:eastAsia="zh-CN" w:bidi="ar-SA"/>
              </w:rPr>
            </w:pPr>
            <w:r>
              <w:rPr>
                <w:rFonts w:hint="eastAsia" w:ascii="仿宋" w:hAnsi="仿宋" w:eastAsia="仿宋" w:cs="仿宋"/>
                <w:b/>
                <w:bCs/>
                <w:sz w:val="18"/>
                <w:szCs w:val="18"/>
              </w:rPr>
              <w:t>报考人数</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rPr>
            </w:pPr>
            <w:r>
              <w:rPr>
                <w:rFonts w:hint="eastAsia" w:ascii="仿宋" w:hAnsi="仿宋" w:eastAsia="仿宋" w:cs="仿宋"/>
                <w:b/>
                <w:bCs/>
                <w:sz w:val="18"/>
                <w:szCs w:val="18"/>
              </w:rPr>
              <w:t>录取数</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rPr>
              <w:t>录取</w:t>
            </w:r>
            <w:r>
              <w:rPr>
                <w:rFonts w:hint="eastAsia" w:ascii="仿宋" w:hAnsi="仿宋" w:eastAsia="仿宋" w:cs="仿宋"/>
                <w:b/>
                <w:bCs/>
                <w:sz w:val="18"/>
                <w:szCs w:val="18"/>
                <w:lang w:eastAsia="zh-CN"/>
              </w:rPr>
              <w:t>最低分（五科总分）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文学</w:t>
            </w: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汉语言文学（师范）</w:t>
            </w:r>
          </w:p>
        </w:tc>
        <w:tc>
          <w:tcPr>
            <w:tcW w:w="12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000000" w:themeColor="text1"/>
                <w:sz w:val="18"/>
                <w:szCs w:val="18"/>
                <w:u w:val="none"/>
                <w:lang w:val="en-US" w:eastAsia="zh-CN"/>
                <w14:textFill>
                  <w14:solidFill>
                    <w14:schemeClr w14:val="tx1"/>
                  </w14:solidFill>
                </w14:textFill>
              </w:rPr>
            </w:pPr>
            <w:r>
              <w:rPr>
                <w:rFonts w:hint="eastAsia" w:ascii="仿宋" w:hAnsi="仿宋" w:eastAsia="仿宋" w:cs="仿宋"/>
                <w:b w:val="0"/>
                <w:bCs w:val="0"/>
                <w:color w:val="000000" w:themeColor="text1"/>
                <w:sz w:val="18"/>
                <w:szCs w:val="18"/>
                <w:u w:val="none"/>
                <w:lang w:val="en-US" w:eastAsia="zh-CN"/>
                <w14:textFill>
                  <w14:solidFill>
                    <w14:schemeClr w14:val="tx1"/>
                  </w14:solidFill>
                </w14:textFill>
              </w:rPr>
              <w:t>计划待定，以省考试院公布为准</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250</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724</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val="en-US" w:eastAsia="zh-CN"/>
              </w:rPr>
              <w:t>250</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英语（师范）</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sz w:val="18"/>
                <w:szCs w:val="18"/>
                <w:u w:val="none"/>
                <w:lang w:val="en-US" w:eastAsia="zh-CN"/>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5190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265</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1436</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val="en-US" w:eastAsia="zh-CN"/>
              </w:rPr>
              <w:t>269</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教育学</w:t>
            </w: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小学教育（师范）</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sz w:val="18"/>
                <w:szCs w:val="18"/>
                <w:u w:val="none"/>
                <w:lang w:val="en-US" w:eastAsia="zh-CN"/>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155</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705</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val="en-US" w:eastAsia="zh-CN"/>
              </w:rPr>
              <w:t>182</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学前教育（师范）</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sz w:val="18"/>
                <w:szCs w:val="18"/>
                <w:u w:val="none"/>
                <w:lang w:val="en-US" w:eastAsia="zh-CN"/>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100</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179</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val="en-US" w:eastAsia="zh-CN"/>
              </w:rPr>
              <w:t>101</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rPr>
            </w:pPr>
            <w:r>
              <w:rPr>
                <w:rFonts w:hint="eastAsia" w:ascii="仿宋" w:hAnsi="仿宋" w:eastAsia="仿宋" w:cs="仿宋"/>
                <w:b w:val="0"/>
                <w:bCs w:val="0"/>
                <w:color w:val="auto"/>
                <w:sz w:val="18"/>
                <w:szCs w:val="18"/>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lang w:eastAsia="zh-CN"/>
              </w:rPr>
              <w:t>经济学</w:t>
            </w: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国际经济与贸易</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lang w:eastAsia="zh-CN"/>
              </w:rPr>
              <w:t>教学点：广东科学技术职业学院（珠海校区）</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kern w:val="2"/>
                <w:sz w:val="18"/>
                <w:szCs w:val="18"/>
                <w:u w:val="none"/>
                <w:lang w:val="en-US" w:eastAsia="zh-CN" w:bidi="ar-SA"/>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55</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kern w:val="2"/>
                <w:sz w:val="18"/>
                <w:szCs w:val="18"/>
                <w:lang w:val="en-US" w:eastAsia="zh-CN" w:bidi="ar-SA"/>
              </w:rPr>
              <w:t>12</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55</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管理学</w:t>
            </w: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会计学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教学点：广东科学技术职业学院（珠海校区）</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sz w:val="18"/>
                <w:szCs w:val="18"/>
                <w:u w:val="none"/>
                <w:lang w:val="en-US" w:eastAsia="zh-CN"/>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53</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16</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53</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市场营销</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kern w:val="2"/>
                <w:sz w:val="18"/>
                <w:szCs w:val="18"/>
                <w:u w:val="none"/>
                <w:lang w:val="en-US" w:eastAsia="zh-CN" w:bidi="ar-SA"/>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kern w:val="2"/>
                <w:sz w:val="18"/>
                <w:szCs w:val="18"/>
                <w:lang w:val="en-US" w:eastAsia="zh-CN" w:bidi="ar-SA"/>
              </w:rPr>
              <w:t>60</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kern w:val="2"/>
                <w:sz w:val="18"/>
                <w:szCs w:val="18"/>
                <w:lang w:val="en-US" w:eastAsia="zh-CN" w:bidi="ar-SA"/>
              </w:rPr>
              <w:t>299</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kern w:val="2"/>
                <w:sz w:val="18"/>
                <w:szCs w:val="18"/>
                <w:lang w:val="en-US" w:eastAsia="zh-CN" w:bidi="ar-SA"/>
              </w:rPr>
              <w:t>69</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kern w:val="2"/>
                <w:sz w:val="18"/>
                <w:szCs w:val="18"/>
                <w:lang w:val="en-US" w:eastAsia="zh-CN" w:bidi="ar-SA"/>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市场营销</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lang w:eastAsia="zh-CN"/>
              </w:rPr>
              <w:t>教学点：广东水利电力职业技术学院（从化校区）</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kern w:val="2"/>
                <w:sz w:val="18"/>
                <w:szCs w:val="18"/>
                <w:u w:val="none"/>
                <w:lang w:val="en-US" w:eastAsia="zh-CN" w:bidi="ar-SA"/>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51</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6</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51</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旅游管理</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kern w:val="2"/>
                <w:sz w:val="18"/>
                <w:szCs w:val="18"/>
                <w:u w:val="none"/>
                <w:lang w:val="en-US" w:eastAsia="zh-CN" w:bidi="ar-SA"/>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100</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331</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101</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旅游管理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lang w:eastAsia="zh-CN"/>
              </w:rPr>
              <w:t>教学点：广东科学技术职业学院（珠海校区）</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kern w:val="2"/>
                <w:sz w:val="18"/>
                <w:szCs w:val="18"/>
                <w:u w:val="none"/>
                <w:lang w:val="en-US" w:eastAsia="zh-CN" w:bidi="ar-SA"/>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4590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50</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38</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50</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理学</w:t>
            </w: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数学与应用数学（师范）</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sz w:val="18"/>
                <w:szCs w:val="18"/>
                <w:u w:val="none"/>
                <w:lang w:val="en-US" w:eastAsia="zh-CN"/>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5190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170</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379</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182</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18"/>
                <w:szCs w:val="18"/>
                <w:lang w:val="en-US" w:eastAsia="zh-CN"/>
              </w:rPr>
            </w:pPr>
            <w:r>
              <w:rPr>
                <w:rFonts w:hint="eastAsia" w:ascii="仿宋" w:hAnsi="仿宋" w:eastAsia="仿宋" w:cs="仿宋"/>
                <w:b w:val="0"/>
                <w:bCs w:val="0"/>
                <w:color w:val="auto"/>
                <w:sz w:val="18"/>
                <w:szCs w:val="18"/>
                <w:lang w:val="en-US"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生物科学（师范）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lang w:eastAsia="zh-CN"/>
              </w:rPr>
              <w:t>（不招色盲色弱）</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kern w:val="2"/>
                <w:sz w:val="18"/>
                <w:szCs w:val="18"/>
                <w:u w:val="none"/>
                <w:lang w:val="en-US" w:eastAsia="zh-CN" w:bidi="ar-SA"/>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sz w:val="18"/>
                <w:szCs w:val="18"/>
              </w:rPr>
              <w:t>5190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100</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176</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114</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2"/>
                <w:sz w:val="18"/>
                <w:szCs w:val="18"/>
                <w:lang w:val="en-US" w:eastAsia="zh-CN" w:bidi="ar-SA"/>
              </w:rPr>
            </w:pPr>
            <w:r>
              <w:rPr>
                <w:rFonts w:hint="eastAsia" w:ascii="仿宋" w:hAnsi="仿宋" w:eastAsia="仿宋" w:cs="仿宋"/>
                <w:b w:val="0"/>
                <w:bCs w:val="0"/>
                <w:color w:val="auto"/>
                <w:sz w:val="18"/>
                <w:szCs w:val="18"/>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工学</w:t>
            </w: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环境工程</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lang w:eastAsia="zh-CN"/>
              </w:rPr>
              <w:t>（不招色盲色弱）</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sz w:val="18"/>
                <w:szCs w:val="18"/>
                <w:u w:val="none"/>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5190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49</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93</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49</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p>
        </w:tc>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食品科学与工程</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eastAsia="zh-CN"/>
              </w:rPr>
            </w:pPr>
            <w:r>
              <w:rPr>
                <w:rFonts w:hint="eastAsia" w:ascii="仿宋" w:hAnsi="仿宋" w:eastAsia="仿宋" w:cs="仿宋"/>
                <w:b w:val="0"/>
                <w:bCs w:val="0"/>
                <w:sz w:val="18"/>
                <w:szCs w:val="18"/>
                <w:lang w:eastAsia="zh-CN"/>
              </w:rPr>
              <w:t>（不招色盲色弱）</w:t>
            </w: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000000" w:themeColor="text1"/>
                <w:sz w:val="18"/>
                <w:szCs w:val="18"/>
                <w:u w:val="none"/>
                <w:lang w:eastAsia="zh-CN"/>
                <w14:textFill>
                  <w14:solidFill>
                    <w14:schemeClr w14:val="tx1"/>
                  </w14:solidFill>
                </w14:textFill>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rPr>
            </w:pPr>
            <w:r>
              <w:rPr>
                <w:rFonts w:hint="eastAsia" w:ascii="仿宋" w:hAnsi="仿宋" w:eastAsia="仿宋" w:cs="仿宋"/>
                <w:b w:val="0"/>
                <w:bCs w:val="0"/>
                <w:sz w:val="18"/>
                <w:szCs w:val="18"/>
              </w:rPr>
              <w:t>5190</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38</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83</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38</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182</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b/>
          <w:bCs/>
          <w:color w:val="auto"/>
          <w:sz w:val="32"/>
          <w:szCs w:val="32"/>
          <w:lang w:val="en-US" w:eastAsia="zh-CN"/>
        </w:rPr>
        <w:t>我校2021年普通专升本的全部招生专业取消对前置专业的限制，考生须根据自身能力选择合适的专业报考。</w:t>
      </w:r>
    </w:p>
    <w:tbl>
      <w:tblPr>
        <w:tblStyle w:val="9"/>
        <w:tblpPr w:leftFromText="180" w:rightFromText="180" w:vertAnchor="text" w:horzAnchor="margin" w:tblpXSpec="center" w:tblpY="2"/>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02"/>
        <w:gridCol w:w="1230"/>
        <w:gridCol w:w="1406"/>
        <w:gridCol w:w="1508"/>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b/>
                <w:color w:val="auto"/>
                <w:sz w:val="18"/>
                <w:szCs w:val="18"/>
              </w:rPr>
            </w:pPr>
            <w:r>
              <w:rPr>
                <w:rFonts w:ascii="??_GB2312" w:hAnsi="宋体" w:eastAsia="Times New Roman"/>
                <w:b/>
                <w:color w:val="auto"/>
                <w:sz w:val="18"/>
                <w:szCs w:val="18"/>
              </w:rPr>
              <w:t>专业名称</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宋体"/>
                <w:b/>
                <w:color w:val="auto"/>
                <w:sz w:val="18"/>
                <w:szCs w:val="18"/>
                <w:lang w:eastAsia="zh-CN"/>
              </w:rPr>
            </w:pPr>
            <w:r>
              <w:rPr>
                <w:rFonts w:ascii="??_GB2312" w:hAnsi="宋体" w:eastAsia="Times New Roman"/>
                <w:b/>
                <w:color w:val="auto"/>
                <w:sz w:val="18"/>
                <w:szCs w:val="18"/>
              </w:rPr>
              <w:t>省统考</w:t>
            </w:r>
            <w:r>
              <w:rPr>
                <w:rFonts w:hint="eastAsia" w:ascii="??_GB2312" w:hAnsi="宋体"/>
                <w:b/>
                <w:color w:val="auto"/>
                <w:sz w:val="18"/>
                <w:szCs w:val="18"/>
                <w:lang w:eastAsia="zh-CN"/>
              </w:rPr>
              <w:t>（公共课、专业基础课）</w:t>
            </w:r>
          </w:p>
        </w:tc>
        <w:tc>
          <w:tcPr>
            <w:tcW w:w="29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b/>
                <w:color w:val="auto"/>
                <w:sz w:val="18"/>
                <w:szCs w:val="18"/>
                <w:lang w:eastAsia="zh-CN"/>
              </w:rPr>
            </w:pPr>
            <w:r>
              <w:rPr>
                <w:rFonts w:hint="eastAsia" w:ascii="??_GB2312" w:hAnsi="宋体"/>
                <w:b/>
                <w:color w:val="auto"/>
                <w:sz w:val="18"/>
                <w:szCs w:val="18"/>
                <w:lang w:eastAsia="zh-CN"/>
              </w:rPr>
              <w:t>专业综合课</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b/>
                <w:color w:val="auto"/>
                <w:sz w:val="18"/>
                <w:szCs w:val="18"/>
              </w:rPr>
            </w:pPr>
            <w:r>
              <w:rPr>
                <w:rFonts w:hint="eastAsia" w:ascii="??_GB2312" w:hAnsi="宋体"/>
                <w:b/>
                <w:color w:val="auto"/>
                <w:sz w:val="18"/>
                <w:szCs w:val="18"/>
                <w:lang w:eastAsia="zh-CN"/>
              </w:rPr>
              <w:t>专业综合课自命题考试</w:t>
            </w:r>
            <w:r>
              <w:rPr>
                <w:rFonts w:ascii="??_GB2312" w:hAnsi="宋体" w:eastAsia="Times New Roman"/>
                <w:b/>
                <w:color w:val="auto"/>
                <w:sz w:val="18"/>
                <w:szCs w:val="18"/>
              </w:rPr>
              <w:t>指定参考书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color w:val="auto"/>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color w:val="auto"/>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b/>
                <w:color w:val="auto"/>
                <w:sz w:val="18"/>
                <w:szCs w:val="18"/>
                <w:lang w:eastAsia="zh-CN"/>
              </w:rPr>
            </w:pPr>
            <w:r>
              <w:rPr>
                <w:rFonts w:hint="eastAsia" w:ascii="??_GB2312" w:hAnsi="宋体"/>
                <w:b/>
                <w:color w:val="auto"/>
                <w:sz w:val="18"/>
                <w:szCs w:val="18"/>
                <w:lang w:eastAsia="zh-CN"/>
              </w:rPr>
              <w:t>省统考</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b/>
                <w:color w:val="auto"/>
                <w:sz w:val="18"/>
                <w:szCs w:val="18"/>
                <w:lang w:eastAsia="zh-CN"/>
              </w:rPr>
            </w:pPr>
            <w:r>
              <w:rPr>
                <w:rFonts w:hint="eastAsia" w:ascii="??_GB2312" w:hAnsi="宋体"/>
                <w:b/>
                <w:color w:val="auto"/>
                <w:sz w:val="18"/>
                <w:szCs w:val="18"/>
                <w:lang w:eastAsia="zh-CN"/>
              </w:rPr>
              <w:t>自命题</w:t>
            </w:r>
          </w:p>
        </w:tc>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olor w:val="auto"/>
                <w:kern w:val="0"/>
                <w:sz w:val="18"/>
                <w:szCs w:val="18"/>
              </w:rPr>
            </w:pPr>
            <w:r>
              <w:rPr>
                <w:rFonts w:ascii="??_GB2312" w:hAnsi="宋体" w:eastAsia="Times New Roman"/>
                <w:color w:val="auto"/>
                <w:kern w:val="0"/>
                <w:sz w:val="18"/>
                <w:szCs w:val="18"/>
              </w:rPr>
              <w:t>汉语言文学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olor w:val="auto"/>
                <w:sz w:val="18"/>
                <w:szCs w:val="18"/>
              </w:rPr>
            </w:pPr>
            <w:r>
              <w:rPr>
                <w:rFonts w:ascii="??_GB2312" w:hAnsi="宋体" w:eastAsia="Times New Roman"/>
                <w:color w:val="auto"/>
                <w:kern w:val="0"/>
                <w:sz w:val="18"/>
                <w:szCs w:val="18"/>
              </w:rPr>
              <w:t>(师范)</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_GB2312" w:hAnsi="宋体" w:eastAsia="宋体"/>
                <w:color w:val="auto"/>
                <w:sz w:val="18"/>
                <w:szCs w:val="18"/>
                <w:lang w:val="en-US" w:eastAsia="zh-CN"/>
              </w:rPr>
            </w:pPr>
            <w:r>
              <w:rPr>
                <w:rFonts w:ascii="??_GB2312" w:hAnsi="宋体" w:eastAsia="Times New Roman"/>
                <w:color w:val="auto"/>
                <w:sz w:val="18"/>
                <w:szCs w:val="18"/>
              </w:rPr>
              <w:t>3．大学语文</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宋体"/>
                <w:color w:val="auto"/>
                <w:sz w:val="18"/>
                <w:szCs w:val="18"/>
                <w:lang w:eastAsia="zh-CN"/>
              </w:rPr>
            </w:pPr>
            <w:r>
              <w:rPr>
                <w:rFonts w:hint="eastAsia" w:ascii="??_GB2312" w:hAnsi="宋体" w:eastAsia="Times New Roman" w:cs="Times New Roman"/>
                <w:color w:val="auto"/>
                <w:kern w:val="0"/>
                <w:sz w:val="18"/>
                <w:szCs w:val="18"/>
              </w:rPr>
              <w:t>汉语言文学学科基础</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宋体"/>
                <w:color w:val="auto"/>
                <w:sz w:val="18"/>
                <w:szCs w:val="18"/>
                <w:lang w:eastAsia="zh-CN"/>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center"/>
              <w:textAlignment w:val="auto"/>
              <w:rPr>
                <w:rFonts w:ascii="??_GB2312" w:hAnsi="Gungsuh" w:eastAsia="Times New Roman"/>
                <w:color w:val="auto"/>
                <w:sz w:val="18"/>
                <w:szCs w:val="18"/>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olor w:val="auto"/>
                <w:kern w:val="0"/>
                <w:sz w:val="18"/>
                <w:szCs w:val="18"/>
              </w:rPr>
            </w:pPr>
            <w:r>
              <w:rPr>
                <w:rFonts w:ascii="??_GB2312" w:hAnsi="宋体" w:eastAsia="Times New Roman"/>
                <w:color w:val="auto"/>
                <w:kern w:val="0"/>
                <w:sz w:val="18"/>
                <w:szCs w:val="18"/>
              </w:rPr>
              <w:t>英语(师范)</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_GB2312" w:hAnsi="宋体" w:eastAsia="宋体"/>
                <w:color w:val="auto"/>
                <w:sz w:val="18"/>
                <w:szCs w:val="18"/>
                <w:lang w:val="en-US" w:eastAsia="zh-CN"/>
              </w:rPr>
            </w:pPr>
            <w:r>
              <w:rPr>
                <w:rFonts w:ascii="??_GB2312" w:hAnsi="宋体" w:eastAsia="Times New Roman"/>
                <w:color w:val="auto"/>
                <w:sz w:val="18"/>
                <w:szCs w:val="18"/>
              </w:rPr>
              <w:t>3．大学语文</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宋体"/>
                <w:color w:val="auto"/>
                <w:sz w:val="18"/>
                <w:szCs w:val="18"/>
                <w:lang w:eastAsia="zh-CN"/>
              </w:rPr>
            </w:pPr>
            <w:r>
              <w:rPr>
                <w:rFonts w:hint="eastAsia" w:ascii="??_GB2312" w:hAnsi="宋体" w:eastAsia="宋体" w:cs="Times New Roman"/>
                <w:color w:val="auto"/>
                <w:sz w:val="18"/>
                <w:szCs w:val="18"/>
                <w:lang w:eastAsia="zh-CN"/>
              </w:rPr>
              <w:t>英语基础与写作</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olor w:val="auto"/>
                <w:sz w:val="18"/>
                <w:szCs w:val="18"/>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ascii="??_GB2312" w:hAnsi="宋体" w:eastAsia="Times New Roman"/>
                <w:bCs/>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center"/>
              <w:textAlignment w:val="auto"/>
              <w:rPr>
                <w:rFonts w:ascii="??_GB2312" w:hAnsi="宋体" w:eastAsia="Times New Roman"/>
                <w:bCs/>
                <w:color w:val="auto"/>
                <w:sz w:val="18"/>
                <w:szCs w:val="18"/>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s="Times New Roman"/>
                <w:bCs/>
                <w:color w:val="auto"/>
                <w:kern w:val="2"/>
                <w:sz w:val="18"/>
                <w:szCs w:val="18"/>
                <w:lang w:val="en-US" w:eastAsia="zh-CN" w:bidi="ar-SA"/>
              </w:rPr>
            </w:pPr>
            <w:r>
              <w:rPr>
                <w:rFonts w:hint="eastAsia" w:ascii="??_GB2312" w:hAnsi="宋体" w:eastAsia="Times New Roman"/>
                <w:bCs/>
                <w:color w:val="auto"/>
                <w:sz w:val="18"/>
                <w:szCs w:val="18"/>
              </w:rPr>
              <w:t>国际经济与贸易</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_GB2312" w:hAnsi="宋体" w:eastAsia="宋体" w:cs="Times New Roman"/>
                <w:color w:val="auto"/>
                <w:kern w:val="2"/>
                <w:sz w:val="18"/>
                <w:szCs w:val="18"/>
                <w:lang w:val="en-US" w:eastAsia="zh-CN" w:bidi="ar-SA"/>
              </w:rPr>
            </w:pPr>
            <w:r>
              <w:rPr>
                <w:rFonts w:ascii="??_GB2312" w:hAnsi="宋体" w:eastAsia="Times New Roman"/>
                <w:color w:val="auto"/>
                <w:sz w:val="18"/>
                <w:szCs w:val="18"/>
              </w:rPr>
              <w:t>3．</w:t>
            </w:r>
            <w:r>
              <w:rPr>
                <w:rFonts w:hint="eastAsia" w:ascii="??_GB2312" w:hAnsi="宋体"/>
                <w:color w:val="auto"/>
                <w:sz w:val="18"/>
                <w:szCs w:val="18"/>
                <w:lang w:eastAsia="zh-CN"/>
              </w:rPr>
              <w:t>经济学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lang w:val="en-US" w:eastAsia="zh-CN" w:bidi="ar-SA"/>
              </w:rPr>
            </w:pPr>
            <w:r>
              <w:rPr>
                <w:rFonts w:hint="eastAsia" w:ascii="??_GB2312" w:hAnsi="宋体" w:eastAsia="Times New Roman" w:cs="Times New Roman"/>
                <w:color w:val="auto"/>
                <w:kern w:val="0"/>
                <w:sz w:val="18"/>
                <w:szCs w:val="18"/>
                <w:lang w:eastAsia="zh-CN"/>
              </w:rPr>
              <w:t>国际贸易理论与实务</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hint="eastAsia" w:ascii="??_GB2312" w:hAnsi="宋体" w:eastAsia="Times New Roman" w:cs="Times New Roman"/>
                <w:color w:val="auto"/>
                <w:kern w:val="2"/>
                <w:sz w:val="18"/>
                <w:szCs w:val="18"/>
                <w:lang w:val="en-US" w:eastAsia="zh-CN" w:bidi="ar-SA"/>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宋体" w:cs="Times New Roman"/>
                <w:color w:val="auto"/>
                <w:kern w:val="2"/>
                <w:sz w:val="18"/>
                <w:szCs w:val="18"/>
                <w:lang w:val="en-US" w:eastAsia="zh-CN" w:bidi="ar-SA"/>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s="Times New Roman"/>
                <w:bCs/>
                <w:color w:val="auto"/>
                <w:kern w:val="2"/>
                <w:sz w:val="18"/>
                <w:szCs w:val="18"/>
                <w:lang w:val="en-US" w:eastAsia="zh-CN" w:bidi="ar-SA"/>
              </w:rPr>
            </w:pPr>
            <w:r>
              <w:rPr>
                <w:rFonts w:hint="eastAsia" w:ascii="??_GB2312" w:hAnsi="宋体" w:eastAsia="Times New Roman"/>
                <w:bCs/>
                <w:color w:val="auto"/>
                <w:sz w:val="18"/>
                <w:szCs w:val="18"/>
              </w:rPr>
              <w:t>会计学</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000000" w:themeColor="text1"/>
                <w:sz w:val="18"/>
                <w:szCs w:val="18"/>
                <w14:textFill>
                  <w14:solidFill>
                    <w14:schemeClr w14:val="tx1"/>
                  </w14:solidFill>
                </w14:textFill>
              </w:rPr>
            </w:pPr>
            <w:r>
              <w:rPr>
                <w:rFonts w:ascii="??_GB2312" w:hAnsi="宋体" w:eastAsia="Times New Roman"/>
                <w:color w:val="000000" w:themeColor="text1"/>
                <w:sz w:val="18"/>
                <w:szCs w:val="18"/>
                <w14:textFill>
                  <w14:solidFill>
                    <w14:schemeClr w14:val="tx1"/>
                  </w14:solidFill>
                </w14:textFill>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000000" w:themeColor="text1"/>
                <w:sz w:val="18"/>
                <w:szCs w:val="18"/>
                <w14:textFill>
                  <w14:solidFill>
                    <w14:schemeClr w14:val="tx1"/>
                  </w14:solidFill>
                </w14:textFill>
              </w:rPr>
            </w:pPr>
            <w:r>
              <w:rPr>
                <w:rFonts w:ascii="??_GB2312" w:hAnsi="宋体" w:eastAsia="Times New Roman"/>
                <w:color w:val="000000" w:themeColor="text1"/>
                <w:sz w:val="18"/>
                <w:szCs w:val="18"/>
                <w14:textFill>
                  <w14:solidFill>
                    <w14:schemeClr w14:val="tx1"/>
                  </w14:solidFill>
                </w14:textFill>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_GB2312" w:hAnsi="宋体" w:eastAsia="宋体" w:cs="Times New Roman"/>
                <w:color w:val="000000" w:themeColor="text1"/>
                <w:kern w:val="2"/>
                <w:sz w:val="18"/>
                <w:szCs w:val="18"/>
                <w:lang w:val="en-US" w:eastAsia="zh-CN" w:bidi="ar-SA"/>
                <w14:textFill>
                  <w14:solidFill>
                    <w14:schemeClr w14:val="tx1"/>
                  </w14:solidFill>
                </w14:textFill>
              </w:rPr>
            </w:pPr>
            <w:r>
              <w:rPr>
                <w:rFonts w:ascii="??_GB2312" w:hAnsi="宋体" w:eastAsia="Times New Roman"/>
                <w:color w:val="000000" w:themeColor="text1"/>
                <w:sz w:val="18"/>
                <w:szCs w:val="18"/>
                <w14:textFill>
                  <w14:solidFill>
                    <w14:schemeClr w14:val="tx1"/>
                  </w14:solidFill>
                </w14:textFill>
              </w:rPr>
              <w:t>3．</w:t>
            </w:r>
            <w:r>
              <w:rPr>
                <w:rFonts w:hint="eastAsia" w:ascii="??_GB2312" w:hAnsi="宋体"/>
                <w:color w:val="000000" w:themeColor="text1"/>
                <w:sz w:val="18"/>
                <w:szCs w:val="18"/>
                <w:lang w:eastAsia="zh-CN"/>
                <w14:textFill>
                  <w14:solidFill>
                    <w14:schemeClr w14:val="tx1"/>
                  </w14:solidFill>
                </w14:textFill>
              </w:rPr>
              <w:t>高等数学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lang w:val="en-US" w:eastAsia="zh-CN" w:bidi="ar-SA"/>
              </w:rPr>
            </w:pPr>
            <w:r>
              <w:rPr>
                <w:rFonts w:hint="eastAsia" w:ascii="??_GB2312" w:hAnsi="宋体" w:eastAsia="Times New Roman" w:cs="Times New Roman"/>
                <w:color w:val="auto"/>
                <w:kern w:val="0"/>
                <w:sz w:val="18"/>
                <w:szCs w:val="18"/>
                <w:lang w:eastAsia="zh-CN"/>
              </w:rPr>
              <w:t>基础会计学</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hint="eastAsia" w:ascii="??_GB2312" w:hAnsi="宋体" w:eastAsia="Times New Roman" w:cs="Times New Roman"/>
                <w:color w:val="auto"/>
                <w:kern w:val="2"/>
                <w:sz w:val="18"/>
                <w:szCs w:val="18"/>
                <w:lang w:val="en-US" w:eastAsia="zh-CN" w:bidi="ar-SA"/>
              </w:rPr>
            </w:pPr>
            <w:bookmarkStart w:id="2" w:name="_GoBack"/>
            <w:bookmarkEnd w:id="2"/>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leftChars="0" w:firstLine="0" w:firstLineChars="0"/>
              <w:jc w:val="center"/>
              <w:textAlignment w:val="auto"/>
              <w:rPr>
                <w:rFonts w:hint="eastAsia" w:ascii="??_GB2312" w:hAnsi="宋体" w:cs="Times New Roman" w:eastAsiaTheme="minorEastAsia"/>
                <w:bCs/>
                <w:color w:val="auto"/>
                <w:kern w:val="2"/>
                <w:sz w:val="18"/>
                <w:szCs w:val="18"/>
                <w:lang w:val="en-US" w:eastAsia="zh-CN" w:bidi="ar-SA"/>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s="Times New Roman"/>
                <w:bCs/>
                <w:color w:val="auto"/>
                <w:kern w:val="2"/>
                <w:sz w:val="18"/>
                <w:szCs w:val="18"/>
                <w:lang w:val="en-US" w:eastAsia="zh-CN" w:bidi="ar-SA"/>
              </w:rPr>
            </w:pPr>
            <w:r>
              <w:rPr>
                <w:rFonts w:hint="eastAsia" w:ascii="??_GB2312" w:hAnsi="宋体" w:eastAsia="Times New Roman"/>
                <w:bCs/>
                <w:color w:val="auto"/>
                <w:sz w:val="18"/>
                <w:szCs w:val="18"/>
              </w:rPr>
              <w:t>市场营销</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000000" w:themeColor="text1"/>
                <w:sz w:val="18"/>
                <w:szCs w:val="18"/>
                <w14:textFill>
                  <w14:solidFill>
                    <w14:schemeClr w14:val="tx1"/>
                  </w14:solidFill>
                </w14:textFill>
              </w:rPr>
            </w:pPr>
            <w:r>
              <w:rPr>
                <w:rFonts w:ascii="??_GB2312" w:hAnsi="宋体" w:eastAsia="Times New Roman"/>
                <w:color w:val="000000" w:themeColor="text1"/>
                <w:sz w:val="18"/>
                <w:szCs w:val="18"/>
                <w14:textFill>
                  <w14:solidFill>
                    <w14:schemeClr w14:val="tx1"/>
                  </w14:solidFill>
                </w14:textFill>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000000" w:themeColor="text1"/>
                <w:sz w:val="18"/>
                <w:szCs w:val="18"/>
                <w14:textFill>
                  <w14:solidFill>
                    <w14:schemeClr w14:val="tx1"/>
                  </w14:solidFill>
                </w14:textFill>
              </w:rPr>
            </w:pPr>
            <w:r>
              <w:rPr>
                <w:rFonts w:ascii="??_GB2312" w:hAnsi="宋体" w:eastAsia="Times New Roman"/>
                <w:color w:val="000000" w:themeColor="text1"/>
                <w:sz w:val="18"/>
                <w:szCs w:val="18"/>
                <w14:textFill>
                  <w14:solidFill>
                    <w14:schemeClr w14:val="tx1"/>
                  </w14:solidFill>
                </w14:textFill>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s="Times New Roman"/>
                <w:color w:val="000000" w:themeColor="text1"/>
                <w:kern w:val="2"/>
                <w:sz w:val="18"/>
                <w:szCs w:val="18"/>
                <w:lang w:val="en-US" w:eastAsia="zh-CN" w:bidi="ar-SA"/>
                <w14:textFill>
                  <w14:solidFill>
                    <w14:schemeClr w14:val="tx1"/>
                  </w14:solidFill>
                </w14:textFill>
              </w:rPr>
            </w:pPr>
            <w:r>
              <w:rPr>
                <w:rFonts w:ascii="??_GB2312" w:hAnsi="宋体" w:eastAsia="Times New Roman"/>
                <w:color w:val="000000" w:themeColor="text1"/>
                <w:sz w:val="18"/>
                <w:szCs w:val="18"/>
                <w14:textFill>
                  <w14:solidFill>
                    <w14:schemeClr w14:val="tx1"/>
                  </w14:solidFill>
                </w14:textFill>
              </w:rPr>
              <w:t>3．</w:t>
            </w:r>
            <w:r>
              <w:rPr>
                <w:rFonts w:hint="eastAsia" w:ascii="??_GB2312" w:hAnsi="宋体"/>
                <w:color w:val="FF0000"/>
                <w:sz w:val="18"/>
                <w:szCs w:val="18"/>
              </w:rPr>
              <w:t>管理</w:t>
            </w:r>
            <w:r>
              <w:rPr>
                <w:rFonts w:ascii="??_GB2312" w:hAnsi="宋体" w:eastAsia="Times New Roman"/>
                <w:color w:val="FF0000"/>
                <w:sz w:val="18"/>
                <w:szCs w:val="18"/>
              </w:rPr>
              <w:t>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rPr>
            </w:pPr>
            <w:r>
              <w:rPr>
                <w:rFonts w:hint="eastAsia" w:ascii="??_GB2312" w:hAnsi="宋体" w:eastAsia="Times New Roman" w:cs="Times New Roman"/>
                <w:color w:val="auto"/>
                <w:kern w:val="0"/>
                <w:sz w:val="18"/>
                <w:szCs w:val="18"/>
              </w:rPr>
              <w:t>市场营销学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lang w:val="en-US" w:eastAsia="zh-CN" w:bidi="ar-SA"/>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hint="eastAsia" w:ascii="??_GB2312" w:hAnsi="宋体" w:eastAsia="Times New Roman" w:cs="Times New Roman"/>
                <w:color w:val="auto"/>
                <w:kern w:val="2"/>
                <w:sz w:val="18"/>
                <w:szCs w:val="18"/>
                <w:lang w:val="en-US" w:eastAsia="zh-CN" w:bidi="ar-SA"/>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leftChars="0" w:firstLine="0" w:firstLineChars="0"/>
              <w:jc w:val="center"/>
              <w:textAlignment w:val="auto"/>
              <w:rPr>
                <w:rFonts w:hint="eastAsia" w:ascii="??_GB2312" w:hAnsi="宋体" w:eastAsia="Times New Roman" w:cs="Times New Roman"/>
                <w:bCs/>
                <w:color w:val="auto"/>
                <w:kern w:val="2"/>
                <w:sz w:val="18"/>
                <w:szCs w:val="18"/>
                <w:lang w:val="en-US" w:eastAsia="zh-CN" w:bidi="ar-SA"/>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s="Times New Roman"/>
                <w:bCs/>
                <w:color w:val="auto"/>
                <w:kern w:val="2"/>
                <w:sz w:val="18"/>
                <w:szCs w:val="18"/>
                <w:lang w:val="en-US" w:eastAsia="zh-CN" w:bidi="ar-SA"/>
              </w:rPr>
            </w:pPr>
            <w:r>
              <w:rPr>
                <w:rFonts w:hint="eastAsia" w:ascii="??_GB2312" w:hAnsi="宋体" w:eastAsia="Times New Roman"/>
                <w:bCs/>
                <w:color w:val="auto"/>
                <w:sz w:val="18"/>
                <w:szCs w:val="18"/>
              </w:rPr>
              <w:t>数学与应用数学（师范）</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s="Times New Roman"/>
                <w:color w:val="auto"/>
                <w:kern w:val="2"/>
                <w:sz w:val="18"/>
                <w:szCs w:val="18"/>
                <w:lang w:val="en-US" w:eastAsia="zh-CN" w:bidi="ar-SA"/>
              </w:rPr>
            </w:pPr>
            <w:r>
              <w:rPr>
                <w:rFonts w:ascii="??_GB2312" w:hAnsi="宋体" w:eastAsia="Times New Roman"/>
                <w:color w:val="auto"/>
                <w:sz w:val="18"/>
                <w:szCs w:val="18"/>
              </w:rPr>
              <w:t>3．高等数学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宋体" w:cs="Times New Roman"/>
                <w:color w:val="auto"/>
                <w:kern w:val="0"/>
                <w:sz w:val="18"/>
                <w:szCs w:val="18"/>
                <w:lang w:val="en-US" w:eastAsia="zh-CN" w:bidi="ar-SA"/>
              </w:rPr>
            </w:pPr>
            <w:r>
              <w:rPr>
                <w:rFonts w:hint="eastAsia" w:ascii="??_GB2312" w:hAnsi="宋体" w:eastAsia="Times New Roman" w:cs="Times New Roman"/>
                <w:color w:val="auto"/>
                <w:kern w:val="0"/>
                <w:sz w:val="18"/>
                <w:szCs w:val="18"/>
              </w:rPr>
              <w:t>数学</w:t>
            </w:r>
            <w:r>
              <w:rPr>
                <w:rFonts w:hint="eastAsia" w:ascii="??_GB2312" w:hAnsi="宋体" w:cs="Times New Roman"/>
                <w:color w:val="auto"/>
                <w:kern w:val="0"/>
                <w:sz w:val="18"/>
                <w:szCs w:val="18"/>
                <w:lang w:eastAsia="zh-CN"/>
              </w:rPr>
              <w:t>专业综合</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hint="eastAsia" w:ascii="??_GB2312" w:hAnsi="宋体" w:eastAsia="Times New Roman" w:cs="Times New Roman"/>
                <w:color w:val="auto"/>
                <w:kern w:val="2"/>
                <w:sz w:val="18"/>
                <w:szCs w:val="18"/>
                <w:lang w:val="en-US" w:eastAsia="zh-CN" w:bidi="ar-SA"/>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leftChars="0" w:firstLine="0" w:firstLineChars="0"/>
              <w:jc w:val="center"/>
              <w:textAlignment w:val="auto"/>
              <w:rPr>
                <w:rFonts w:hint="eastAsia" w:ascii="??_GB2312" w:hAnsi="宋体" w:eastAsia="Times New Roman" w:cs="Times New Roman"/>
                <w:bCs/>
                <w:color w:val="auto"/>
                <w:kern w:val="2"/>
                <w:sz w:val="18"/>
                <w:szCs w:val="18"/>
                <w:lang w:val="en-US" w:eastAsia="zh-CN" w:bidi="ar-SA"/>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color w:val="auto"/>
                <w:kern w:val="0"/>
                <w:sz w:val="18"/>
                <w:szCs w:val="18"/>
              </w:rPr>
            </w:pPr>
            <w:r>
              <w:rPr>
                <w:rFonts w:ascii="??_GB2312" w:hAnsi="宋体" w:eastAsia="Times New Roman"/>
                <w:bCs/>
                <w:color w:val="auto"/>
                <w:sz w:val="18"/>
                <w:szCs w:val="18"/>
              </w:rPr>
              <w:t>小学教育(</w:t>
            </w:r>
            <w:r>
              <w:rPr>
                <w:rFonts w:ascii="??_GB2312" w:hAnsi="宋体" w:eastAsia="Times New Roman" w:cs="宋体"/>
                <w:bCs/>
                <w:color w:val="auto"/>
                <w:sz w:val="18"/>
                <w:szCs w:val="18"/>
              </w:rPr>
              <w:t>师范)</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3．教育理论</w:t>
            </w:r>
          </w:p>
        </w:tc>
        <w:tc>
          <w:tcPr>
            <w:tcW w:w="14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_GB2312" w:hAnsi="宋体" w:eastAsia="宋体"/>
                <w:color w:val="auto"/>
                <w:sz w:val="18"/>
                <w:szCs w:val="18"/>
                <w:lang w:val="en-US" w:eastAsia="zh-CN"/>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15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rPr>
            </w:pPr>
            <w:r>
              <w:rPr>
                <w:rFonts w:hint="eastAsia" w:ascii="??_GB2312" w:hAnsi="宋体" w:eastAsia="Times New Roman" w:cs="Times New Roman"/>
                <w:color w:val="auto"/>
                <w:kern w:val="0"/>
                <w:sz w:val="18"/>
                <w:szCs w:val="18"/>
              </w:rPr>
              <w:t>教育学专业综合（教育原理、教育心理学）</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1．《现代教育原理》柳海民主编，人民教育出版社，20</w:t>
            </w:r>
            <w:r>
              <w:rPr>
                <w:rFonts w:hint="eastAsia" w:ascii="??_GB2312" w:hAnsi="宋体" w:eastAsia="Times New Roman"/>
                <w:bCs/>
                <w:color w:val="auto"/>
                <w:sz w:val="18"/>
                <w:szCs w:val="18"/>
                <w:lang w:val="en-US" w:eastAsia="zh-CN"/>
              </w:rPr>
              <w:t>06</w:t>
            </w:r>
            <w:r>
              <w:rPr>
                <w:rFonts w:hint="eastAsia" w:ascii="??_GB2312" w:hAnsi="宋体" w:eastAsia="Times New Roman"/>
                <w:bCs/>
                <w:color w:val="auto"/>
                <w:sz w:val="18"/>
                <w:szCs w:val="18"/>
                <w:lang w:val="zh-CN"/>
              </w:rPr>
              <w:t>年；</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2．《教育学基础》（第三版），全国十二所重点师范大学联合编写，教育科学出版社，20</w:t>
            </w:r>
            <w:r>
              <w:rPr>
                <w:rFonts w:hint="eastAsia" w:ascii="??_GB2312" w:hAnsi="宋体" w:eastAsia="Times New Roman"/>
                <w:bCs/>
                <w:color w:val="auto"/>
                <w:sz w:val="18"/>
                <w:szCs w:val="18"/>
                <w:lang w:val="en-US" w:eastAsia="zh-CN"/>
              </w:rPr>
              <w:t>14</w:t>
            </w:r>
            <w:r>
              <w:rPr>
                <w:rFonts w:hint="eastAsia" w:ascii="??_GB2312" w:hAnsi="宋体" w:eastAsia="Times New Roman"/>
                <w:bCs/>
                <w:color w:val="auto"/>
                <w:sz w:val="18"/>
                <w:szCs w:val="18"/>
                <w:lang w:val="zh-CN"/>
              </w:rPr>
              <w:t>年；</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3．《现代教育学》（第三版），扈中平主编，高等教育出版社，2010年；</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ascii="??_GB2312" w:hAnsi="宋体" w:eastAsia="Times New Roman"/>
                <w:bCs/>
                <w:color w:val="0000FF"/>
                <w:sz w:val="18"/>
                <w:szCs w:val="18"/>
              </w:rPr>
            </w:pPr>
            <w:r>
              <w:rPr>
                <w:rFonts w:hint="eastAsia" w:ascii="??_GB2312" w:hAnsi="宋体" w:eastAsia="Times New Roman"/>
                <w:bCs/>
                <w:color w:val="auto"/>
                <w:sz w:val="18"/>
                <w:szCs w:val="18"/>
                <w:lang w:val="zh-CN"/>
              </w:rPr>
              <w:t>4．《儿童发展与教育心理学》</w:t>
            </w:r>
            <w:r>
              <w:rPr>
                <w:rFonts w:hint="eastAsia" w:ascii="??_GB2312" w:hAnsi="宋体" w:eastAsia="Times New Roman"/>
                <w:bCs/>
                <w:color w:val="auto"/>
                <w:sz w:val="18"/>
                <w:szCs w:val="18"/>
                <w:lang w:val="zh-CN" w:eastAsia="zh-CN"/>
              </w:rPr>
              <w:t>（第二版）</w:t>
            </w:r>
            <w:r>
              <w:rPr>
                <w:rFonts w:hint="eastAsia" w:ascii="??_GB2312" w:hAnsi="宋体" w:eastAsia="Times New Roman"/>
                <w:bCs/>
                <w:color w:val="auto"/>
                <w:sz w:val="18"/>
                <w:szCs w:val="18"/>
                <w:lang w:val="zh-CN"/>
              </w:rPr>
              <w:t>，伍新春主编，高等教育出版社，20</w:t>
            </w:r>
            <w:r>
              <w:rPr>
                <w:rFonts w:hint="eastAsia" w:ascii="??_GB2312" w:hAnsi="宋体" w:eastAsia="Times New Roman"/>
                <w:bCs/>
                <w:color w:val="auto"/>
                <w:sz w:val="18"/>
                <w:szCs w:val="18"/>
                <w:lang w:val="en-US" w:eastAsia="zh-CN"/>
              </w:rPr>
              <w:t>13</w:t>
            </w:r>
            <w:r>
              <w:rPr>
                <w:rFonts w:hint="eastAsia" w:ascii="??_GB2312" w:hAnsi="宋体" w:eastAsia="Times New Roman"/>
                <w:bCs/>
                <w:color w:val="auto"/>
                <w:sz w:val="18"/>
                <w:szCs w:val="18"/>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bCs/>
                <w:color w:val="auto"/>
                <w:sz w:val="18"/>
                <w:szCs w:val="18"/>
              </w:rPr>
            </w:pPr>
            <w:r>
              <w:rPr>
                <w:rFonts w:ascii="??_GB2312" w:hAnsi="宋体" w:eastAsia="Times New Roman"/>
                <w:bCs/>
                <w:color w:val="auto"/>
                <w:sz w:val="18"/>
                <w:szCs w:val="18"/>
              </w:rPr>
              <w:t>学前教育(师范)</w:t>
            </w: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p>
        </w:tc>
        <w:tc>
          <w:tcPr>
            <w:tcW w:w="14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ascii="??_GB2312" w:hAnsi="宋体" w:eastAsia="Times New Roman"/>
                <w:color w:val="auto"/>
                <w:sz w:val="18"/>
                <w:szCs w:val="18"/>
              </w:rPr>
            </w:pPr>
          </w:p>
        </w:tc>
        <w:tc>
          <w:tcPr>
            <w:tcW w:w="15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rPr>
            </w:pPr>
          </w:p>
        </w:tc>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ascii="??_GB2312" w:hAnsi="宋体" w:eastAsia="Times New Roman"/>
                <w:bCs/>
                <w:color w:val="0000FF"/>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bCs/>
                <w:color w:val="auto"/>
                <w:sz w:val="18"/>
                <w:szCs w:val="18"/>
              </w:rPr>
            </w:pPr>
            <w:r>
              <w:rPr>
                <w:rFonts w:ascii="??_GB2312" w:hAnsi="宋体" w:eastAsia="Times New Roman"/>
                <w:bCs/>
                <w:color w:val="auto"/>
                <w:sz w:val="18"/>
                <w:szCs w:val="18"/>
              </w:rPr>
              <w:t>生物科学(</w:t>
            </w:r>
            <w:r>
              <w:rPr>
                <w:rFonts w:ascii="??_GB2312" w:hAnsi="宋体" w:eastAsia="Times New Roman" w:cs="宋体"/>
                <w:bCs/>
                <w:color w:val="auto"/>
                <w:sz w:val="18"/>
                <w:szCs w:val="18"/>
              </w:rPr>
              <w:t>师范)</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3．</w:t>
            </w:r>
            <w:r>
              <w:rPr>
                <w:rFonts w:hint="eastAsia" w:ascii="??_GB2312" w:hAnsi="宋体"/>
                <w:color w:val="auto"/>
                <w:sz w:val="18"/>
                <w:szCs w:val="18"/>
                <w:lang w:eastAsia="zh-CN"/>
              </w:rPr>
              <w:t>高等数学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ascii="??_GB2312" w:hAnsi="宋体" w:eastAsia="Times New Roman"/>
                <w:color w:val="auto"/>
                <w:sz w:val="18"/>
                <w:szCs w:val="18"/>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_GB2312" w:hAnsi="宋体" w:eastAsia="Times New Roman" w:cs="Times New Roman"/>
                <w:color w:val="auto"/>
                <w:kern w:val="0"/>
                <w:sz w:val="18"/>
                <w:szCs w:val="18"/>
                <w:lang w:val="en-US" w:eastAsia="zh-CN"/>
              </w:rPr>
            </w:pPr>
            <w:r>
              <w:rPr>
                <w:rFonts w:hint="eastAsia" w:ascii="??_GB2312" w:hAnsi="宋体" w:eastAsia="Times New Roman" w:cs="Times New Roman"/>
                <w:color w:val="auto"/>
                <w:kern w:val="0"/>
                <w:sz w:val="18"/>
                <w:szCs w:val="18"/>
              </w:rPr>
              <w:t>生物科学专业综合（植物学、动物学）</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1．《植物学》（第二版）上下册，陆时万、吴国芳等编著，高等教育出版社.北京，2016年12月。</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ascii="??_GB2312" w:hAnsi="宋体" w:eastAsia="Times New Roman"/>
                <w:bCs/>
                <w:color w:val="0000FF"/>
                <w:sz w:val="18"/>
                <w:szCs w:val="18"/>
              </w:rPr>
            </w:pPr>
            <w:r>
              <w:rPr>
                <w:rFonts w:hint="eastAsia" w:ascii="??_GB2312" w:hAnsi="宋体" w:eastAsia="Times New Roman"/>
                <w:bCs/>
                <w:color w:val="auto"/>
                <w:sz w:val="18"/>
                <w:szCs w:val="18"/>
                <w:lang w:val="zh-CN"/>
              </w:rPr>
              <w:t>2．《动物学》，姜云垒、冯江主编，高等教育出版社，2006年。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bCs/>
                <w:color w:val="auto"/>
                <w:sz w:val="18"/>
                <w:szCs w:val="18"/>
              </w:rPr>
            </w:pPr>
            <w:r>
              <w:rPr>
                <w:rFonts w:hint="eastAsia" w:ascii="??_GB2312" w:hAnsi="宋体" w:eastAsia="Times New Roman"/>
                <w:bCs/>
                <w:color w:val="auto"/>
                <w:sz w:val="18"/>
                <w:szCs w:val="18"/>
              </w:rPr>
              <w:t>环境工程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3．高等数学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ascii="??_GB2312" w:hAnsi="宋体" w:eastAsia="Times New Roman"/>
                <w:color w:val="auto"/>
                <w:sz w:val="18"/>
                <w:szCs w:val="18"/>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rPr>
            </w:pPr>
            <w:r>
              <w:rPr>
                <w:rFonts w:hint="eastAsia" w:ascii="??_GB2312" w:hAnsi="宋体" w:eastAsia="Times New Roman" w:cs="Times New Roman"/>
                <w:color w:val="auto"/>
                <w:kern w:val="0"/>
                <w:sz w:val="18"/>
                <w:szCs w:val="18"/>
              </w:rPr>
              <w:t>环境工程专业综合（环境工程导论、环境化学）</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1．《环境工程概论》（第四版），朱蓓丽、程秀莲、黄修长编，科学出版社，2019年11月；</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2．《环境工程基础》（新1版）. 李倦生 曾桂华主编. 武汉，武汉理工大学出版社，2014年8月；</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3．《环境化学》（第一版），姚运先等主编，华南理工大学出版社，2009年；</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ascii="??_GB2312" w:hAnsi="宋体"/>
                <w:color w:val="0000FF"/>
                <w:sz w:val="18"/>
                <w:szCs w:val="18"/>
              </w:rPr>
            </w:pPr>
            <w:r>
              <w:rPr>
                <w:rFonts w:hint="eastAsia" w:ascii="??_GB2312" w:hAnsi="宋体" w:eastAsia="Times New Roman"/>
                <w:bCs/>
                <w:color w:val="auto"/>
                <w:sz w:val="18"/>
                <w:szCs w:val="18"/>
                <w:lang w:val="zh-CN"/>
              </w:rPr>
              <w:t>4．《环境化学》（第二版），戴树桂主编，高等教育出版社，2006年。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bCs/>
                <w:color w:val="auto"/>
                <w:sz w:val="18"/>
                <w:szCs w:val="18"/>
              </w:rPr>
            </w:pPr>
            <w:r>
              <w:rPr>
                <w:rFonts w:hint="eastAsia" w:ascii="??_GB2312" w:hAnsi="宋体" w:eastAsia="Times New Roman"/>
                <w:bCs/>
                <w:color w:val="auto"/>
                <w:sz w:val="18"/>
                <w:szCs w:val="18"/>
              </w:rPr>
              <w:t>食品科学与工程</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3．高等数学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ascii="??_GB2312" w:hAnsi="宋体" w:eastAsia="Times New Roman"/>
                <w:color w:val="auto"/>
                <w:sz w:val="18"/>
                <w:szCs w:val="18"/>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rPr>
            </w:pPr>
            <w:r>
              <w:rPr>
                <w:rFonts w:hint="eastAsia" w:ascii="??_GB2312" w:hAnsi="宋体" w:eastAsia="Times New Roman" w:cs="Times New Roman"/>
                <w:color w:val="auto"/>
                <w:kern w:val="0"/>
                <w:sz w:val="18"/>
                <w:szCs w:val="18"/>
              </w:rPr>
              <w:t>食品科学与工程专业综合（食品生物化学、食品分析）</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1．《生物化学》（第三版）. 张洪渊，万海清主编. 北京，化学工业出版社，2014年；</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2．《食品生物化学》（第二版）. 谢达平主编. 北京，中国农业出版社，2014年；</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ascii="??_GB2312" w:hAnsi="宋体"/>
                <w:color w:val="0000FF"/>
                <w:sz w:val="18"/>
                <w:szCs w:val="18"/>
              </w:rPr>
            </w:pPr>
            <w:r>
              <w:rPr>
                <w:rFonts w:hint="eastAsia" w:ascii="??_GB2312" w:hAnsi="宋体" w:eastAsia="Times New Roman"/>
                <w:bCs/>
                <w:color w:val="auto"/>
                <w:sz w:val="18"/>
                <w:szCs w:val="18"/>
                <w:lang w:val="zh-CN"/>
              </w:rPr>
              <w:t>3．《食品分析》（第三版），王永华、戚穗坚主编，中国轻工业出版社，2017年；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_GB2312" w:hAnsi="宋体" w:eastAsia="Times New Roman"/>
                <w:bCs/>
                <w:color w:val="auto"/>
                <w:sz w:val="18"/>
                <w:szCs w:val="18"/>
              </w:rPr>
            </w:pPr>
            <w:r>
              <w:rPr>
                <w:rFonts w:hint="eastAsia" w:ascii="??_GB2312" w:hAnsi="宋体" w:eastAsia="Times New Roman"/>
                <w:bCs/>
                <w:color w:val="auto"/>
                <w:sz w:val="18"/>
                <w:szCs w:val="18"/>
              </w:rPr>
              <w:t>旅游管理</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2．英语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_GB2312" w:hAnsi="宋体" w:eastAsia="Times New Roman"/>
                <w:color w:val="auto"/>
                <w:sz w:val="18"/>
                <w:szCs w:val="18"/>
              </w:rPr>
            </w:pPr>
            <w:r>
              <w:rPr>
                <w:rFonts w:ascii="??_GB2312" w:hAnsi="宋体" w:eastAsia="Times New Roman"/>
                <w:color w:val="auto"/>
                <w:sz w:val="18"/>
                <w:szCs w:val="18"/>
              </w:rPr>
              <w:t>3．</w:t>
            </w:r>
            <w:r>
              <w:rPr>
                <w:rFonts w:hint="eastAsia" w:ascii="??_GB2312" w:hAnsi="宋体"/>
                <w:color w:val="auto"/>
                <w:sz w:val="18"/>
                <w:szCs w:val="18"/>
              </w:rPr>
              <w:t>管理</w:t>
            </w:r>
            <w:r>
              <w:rPr>
                <w:rFonts w:ascii="??_GB2312" w:hAnsi="宋体" w:eastAsia="Times New Roman"/>
                <w:color w:val="auto"/>
                <w:sz w:val="18"/>
                <w:szCs w:val="18"/>
              </w:rPr>
              <w:t>学</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05" w:rightChars="50" w:firstLine="0" w:firstLineChars="0"/>
              <w:jc w:val="center"/>
              <w:textAlignment w:val="auto"/>
              <w:rPr>
                <w:rFonts w:ascii="??_GB2312" w:hAnsi="宋体" w:eastAsia="Times New Roman"/>
                <w:color w:val="auto"/>
                <w:sz w:val="18"/>
                <w:szCs w:val="18"/>
              </w:rPr>
            </w:pPr>
            <w:r>
              <w:rPr>
                <w:rFonts w:hint="eastAsia" w:ascii="??_GB2312" w:hAnsi="宋体"/>
                <w:color w:val="auto"/>
                <w:sz w:val="18"/>
                <w:szCs w:val="18"/>
                <w:lang w:eastAsia="zh-CN"/>
              </w:rPr>
              <w:t>—</w:t>
            </w:r>
            <w:r>
              <w:rPr>
                <w:rFonts w:hint="eastAsia" w:ascii="??_GB2312" w:hAnsi="宋体"/>
                <w:color w:val="auto"/>
                <w:sz w:val="18"/>
                <w:szCs w:val="18"/>
                <w:lang w:val="en-US" w:eastAsia="zh-CN"/>
              </w:rPr>
              <w:t xml:space="preserve"> </w:t>
            </w:r>
            <w:r>
              <w:rPr>
                <w:rFonts w:hint="eastAsia" w:ascii="??_GB2312" w:hAnsi="宋体"/>
                <w:color w:val="auto"/>
                <w:sz w:val="18"/>
                <w:szCs w:val="18"/>
                <w:lang w:eastAsia="zh-CN"/>
              </w:rPr>
              <w:t>—</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_GB2312" w:hAnsi="宋体" w:eastAsia="Times New Roman" w:cs="Times New Roman"/>
                <w:color w:val="auto"/>
                <w:kern w:val="0"/>
                <w:sz w:val="18"/>
                <w:szCs w:val="18"/>
                <w:lang w:val="en-US" w:eastAsia="zh-CN"/>
              </w:rPr>
            </w:pPr>
            <w:r>
              <w:rPr>
                <w:rFonts w:hint="eastAsia" w:ascii="??_GB2312" w:hAnsi="宋体" w:eastAsia="Times New Roman" w:cs="Times New Roman"/>
                <w:color w:val="auto"/>
                <w:kern w:val="0"/>
                <w:sz w:val="18"/>
                <w:szCs w:val="18"/>
              </w:rPr>
              <w:t>旅游管理专业综合（旅游学概论、酒店管理概论）</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1．《饭店管理》，蒋丁新主编，(2020年，第四版)，高等教育出版社。</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hint="eastAsia" w:ascii="??_GB2312" w:hAnsi="宋体" w:eastAsia="Times New Roman"/>
                <w:bCs/>
                <w:color w:val="auto"/>
                <w:sz w:val="18"/>
                <w:szCs w:val="18"/>
                <w:lang w:val="zh-CN"/>
              </w:rPr>
            </w:pPr>
            <w:r>
              <w:rPr>
                <w:rFonts w:hint="eastAsia" w:ascii="??_GB2312" w:hAnsi="宋体" w:eastAsia="Times New Roman"/>
                <w:bCs/>
                <w:color w:val="auto"/>
                <w:sz w:val="18"/>
                <w:szCs w:val="18"/>
                <w:lang w:val="zh-CN"/>
              </w:rPr>
              <w:t>2．《旅游学》，李天元主编，（2011年，第三版），高等教育出版社；</w:t>
            </w:r>
          </w:p>
          <w:p>
            <w:pPr>
              <w:keepNext w:val="0"/>
              <w:keepLines w:val="0"/>
              <w:pageBreakBefore w:val="0"/>
              <w:widowControl w:val="0"/>
              <w:kinsoku/>
              <w:wordWrap/>
              <w:overflowPunct/>
              <w:topLinePunct w:val="0"/>
              <w:autoSpaceDE/>
              <w:autoSpaceDN/>
              <w:bidi w:val="0"/>
              <w:adjustRightInd/>
              <w:snapToGrid/>
              <w:spacing w:line="240" w:lineRule="exact"/>
              <w:ind w:left="270" w:firstLine="0" w:firstLineChars="0"/>
              <w:jc w:val="left"/>
              <w:textAlignment w:val="auto"/>
              <w:rPr>
                <w:rFonts w:ascii="??_GB2312" w:hAnsi="宋体"/>
                <w:color w:val="auto"/>
                <w:sz w:val="18"/>
                <w:szCs w:val="18"/>
              </w:rPr>
            </w:pPr>
            <w:r>
              <w:rPr>
                <w:rFonts w:hint="eastAsia" w:ascii="??_GB2312" w:hAnsi="宋体" w:eastAsia="Times New Roman"/>
                <w:bCs/>
                <w:color w:val="auto"/>
                <w:sz w:val="18"/>
                <w:szCs w:val="18"/>
                <w:lang w:val="zh-CN"/>
              </w:rPr>
              <w:t>3．《旅游学概论》，李天元主编，（2020年，第七版），南开大学出版社。</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省统考科目的考试要求和考试范围由省教育考试院根据教育部专科升本科同一层次的要求编写确定，并于报名前向社会公布。</w:t>
      </w:r>
      <w:r>
        <w:rPr>
          <w:rFonts w:hint="eastAsia" w:ascii="仿宋_GB2312" w:hAnsi="仿宋" w:eastAsia="仿宋_GB2312" w:cs="Times New Roman"/>
          <w:b/>
          <w:bCs/>
          <w:color w:val="auto"/>
          <w:sz w:val="32"/>
          <w:szCs w:val="32"/>
          <w:lang w:val="en-US" w:eastAsia="zh-CN"/>
        </w:rPr>
        <w:t>我校自命题考试科目、指定参考书和考试要求（招生办网站下载）等由我校根据专科升本科同一层次的要求编写，</w:t>
      </w:r>
      <w:r>
        <w:rPr>
          <w:rFonts w:hint="eastAsia" w:ascii="仿宋_GB2312" w:hAnsi="仿宋" w:eastAsia="仿宋_GB2312" w:cs="Times New Roman"/>
          <w:color w:val="auto"/>
          <w:sz w:val="32"/>
          <w:szCs w:val="32"/>
          <w:lang w:val="en-US" w:eastAsia="zh-CN"/>
        </w:rPr>
        <w:t>上述内容及院校专业组招生代码以招生专业目录公布的为准。</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四、准考证的领取</w:t>
      </w:r>
    </w:p>
    <w:p>
      <w:pPr>
        <w:pStyle w:val="4"/>
        <w:pageBreakBefore w:val="0"/>
        <w:kinsoku/>
        <w:wordWrap/>
        <w:overflowPunct/>
        <w:topLinePunct w:val="0"/>
        <w:autoSpaceDE/>
        <w:autoSpaceDN/>
        <w:bidi w:val="0"/>
        <w:spacing w:line="550" w:lineRule="exact"/>
        <w:ind w:firstLine="640" w:firstLineChars="200"/>
        <w:textAlignment w:val="auto"/>
        <w:rPr>
          <w:rFonts w:hint="eastAsia" w:ascii="黑体" w:hAnsi="黑体" w:eastAsia="黑体"/>
          <w:color w:val="auto"/>
          <w:sz w:val="32"/>
          <w:szCs w:val="32"/>
          <w:highlight w:val="none"/>
        </w:rPr>
      </w:pPr>
      <w:r>
        <w:rPr>
          <w:rFonts w:hint="eastAsia" w:ascii="仿宋_GB2312" w:hAnsi="宋体" w:eastAsia="仿宋_GB2312"/>
          <w:color w:val="auto"/>
          <w:sz w:val="32"/>
          <w:szCs w:val="32"/>
          <w:highlight w:val="none"/>
          <w:lang w:val="en-US" w:eastAsia="zh-CN"/>
        </w:rPr>
        <w:t>考生自行在广东省教育考试院规定时间内登录“广东省普通高校专升本网上报名系统”打印准考证。</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lang w:eastAsia="zh-CN"/>
        </w:rPr>
        <w:t>、考试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考试科目为四门，总分共500分。其中《政治理论》、《英语》和《专业基础课》满分各为100分，每科考试时间为120分钟；《专业综合课》满分为200分，考试时间为150分钟。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我校汉语言文学（师范）、英语（师范）、国际经济与贸易、会计学、市场营销、数学与应用数学（师范）等6个专业的《专业综合课》实行省统考；其他省统考没有覆盖的专业，我校自行组织命题。考试形式一律为闭卷考试。考试科目及考试地点具体安排见《准考证》。</w:t>
      </w:r>
    </w:p>
    <w:p>
      <w:pPr>
        <w:pageBreakBefore w:val="0"/>
        <w:kinsoku/>
        <w:wordWrap/>
        <w:overflowPunct/>
        <w:topLinePunct w:val="0"/>
        <w:autoSpaceDE/>
        <w:autoSpaceDN/>
        <w:bidi w:val="0"/>
        <w:adjustRightInd w:val="0"/>
        <w:spacing w:line="550" w:lineRule="exact"/>
        <w:ind w:firstLine="643" w:firstLineChars="200"/>
        <w:jc w:val="center"/>
        <w:textAlignment w:val="auto"/>
        <w:rPr>
          <w:rFonts w:hint="eastAsia" w:ascii="仿宋_GB2312" w:hAnsi="仿宋" w:eastAsia="仿宋_GB2312"/>
          <w:b/>
          <w:color w:val="auto"/>
          <w:sz w:val="32"/>
          <w:szCs w:val="32"/>
        </w:rPr>
      </w:pPr>
      <w:r>
        <w:rPr>
          <w:rFonts w:hint="eastAsia" w:ascii="仿宋_GB2312" w:hAnsi="仿宋" w:eastAsia="仿宋_GB2312"/>
          <w:b/>
          <w:color w:val="auto"/>
          <w:sz w:val="32"/>
          <w:szCs w:val="32"/>
        </w:rPr>
        <w:t>202</w:t>
      </w:r>
      <w:r>
        <w:rPr>
          <w:rFonts w:hint="eastAsia" w:ascii="仿宋_GB2312" w:hAnsi="仿宋" w:eastAsia="仿宋_GB2312"/>
          <w:b/>
          <w:color w:val="auto"/>
          <w:sz w:val="32"/>
          <w:szCs w:val="32"/>
          <w:lang w:val="en-US" w:eastAsia="zh-CN"/>
        </w:rPr>
        <w:t>1</w:t>
      </w:r>
      <w:r>
        <w:rPr>
          <w:rFonts w:hint="eastAsia" w:ascii="仿宋_GB2312" w:hAnsi="仿宋" w:eastAsia="仿宋_GB2312"/>
          <w:b/>
          <w:color w:val="auto"/>
          <w:sz w:val="32"/>
          <w:szCs w:val="32"/>
        </w:rPr>
        <w:t>年广东省</w:t>
      </w:r>
      <w:r>
        <w:rPr>
          <w:rFonts w:hint="eastAsia" w:ascii="仿宋_GB2312" w:hAnsi="仿宋" w:eastAsia="仿宋_GB2312"/>
          <w:b/>
          <w:color w:val="auto"/>
          <w:sz w:val="32"/>
          <w:szCs w:val="32"/>
          <w:lang w:eastAsia="zh-CN"/>
        </w:rPr>
        <w:t>普通专升本</w:t>
      </w:r>
      <w:r>
        <w:rPr>
          <w:rFonts w:hint="eastAsia" w:ascii="仿宋_GB2312" w:hAnsi="仿宋" w:eastAsia="仿宋_GB2312"/>
          <w:b/>
          <w:color w:val="auto"/>
          <w:sz w:val="32"/>
          <w:szCs w:val="32"/>
        </w:rPr>
        <w:t>招生考试时间表（北京时间）</w:t>
      </w:r>
    </w:p>
    <w:tbl>
      <w:tblPr>
        <w:tblStyle w:val="9"/>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774"/>
        <w:gridCol w:w="1713"/>
        <w:gridCol w:w="182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center"/>
              <w:textAlignment w:val="auto"/>
              <w:rPr>
                <w:rFonts w:hint="eastAsia" w:ascii="黑体" w:hAnsi="黑体" w:eastAsia="黑体"/>
                <w:color w:val="auto"/>
                <w:sz w:val="24"/>
                <w:szCs w:val="24"/>
              </w:rPr>
            </w:pPr>
            <w:r>
              <w:rPr>
                <w:rFonts w:hint="eastAsia" w:ascii="黑体" w:hAnsi="黑体" w:eastAsia="黑体"/>
                <w:color w:val="auto"/>
                <w:sz w:val="24"/>
                <w:szCs w:val="24"/>
              </w:rPr>
              <w:t xml:space="preserve">   项目     </w:t>
            </w:r>
          </w:p>
          <w:p>
            <w:pPr>
              <w:pageBreakBefore w:val="0"/>
              <w:kinsoku/>
              <w:wordWrap/>
              <w:overflowPunct/>
              <w:topLinePunct w:val="0"/>
              <w:autoSpaceDE/>
              <w:autoSpaceDN/>
              <w:bidi w:val="0"/>
              <w:adjustRightInd w:val="0"/>
              <w:snapToGrid w:val="0"/>
              <w:spacing w:line="550" w:lineRule="exact"/>
              <w:ind w:firstLine="480" w:firstLineChars="200"/>
              <w:textAlignment w:val="auto"/>
              <w:rPr>
                <w:rFonts w:hint="eastAsia" w:ascii="仿宋_GB2312" w:hAnsi="仿宋" w:eastAsia="仿宋_GB2312"/>
                <w:color w:val="auto"/>
                <w:sz w:val="24"/>
                <w:szCs w:val="24"/>
              </w:rPr>
            </w:pPr>
            <w:r>
              <w:rPr>
                <w:rFonts w:hint="eastAsia" w:ascii="黑体" w:hAnsi="黑体" w:eastAsia="黑体"/>
                <w:color w:val="auto"/>
                <w:sz w:val="24"/>
                <w:szCs w:val="24"/>
              </w:rPr>
              <w:t>日期</w:t>
            </w:r>
          </w:p>
        </w:tc>
        <w:tc>
          <w:tcPr>
            <w:tcW w:w="348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color w:val="auto"/>
                <w:sz w:val="24"/>
                <w:szCs w:val="24"/>
              </w:rPr>
            </w:pPr>
            <w:r>
              <w:rPr>
                <w:rFonts w:hint="eastAsia" w:ascii="黑体" w:hAnsi="黑体" w:eastAsia="黑体"/>
                <w:color w:val="auto"/>
                <w:sz w:val="24"/>
                <w:szCs w:val="24"/>
              </w:rPr>
              <w:t>上午</w:t>
            </w:r>
          </w:p>
        </w:tc>
        <w:tc>
          <w:tcPr>
            <w:tcW w:w="338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color w:val="auto"/>
                <w:sz w:val="24"/>
                <w:szCs w:val="24"/>
              </w:rPr>
            </w:pPr>
            <w:r>
              <w:rPr>
                <w:rFonts w:hint="eastAsia" w:ascii="黑体" w:hAnsi="黑体" w:eastAsia="黑体"/>
                <w:color w:val="auto"/>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napToGrid w:val="0"/>
              <w:spacing w:line="550" w:lineRule="exact"/>
              <w:ind w:firstLine="482" w:firstLineChars="200"/>
              <w:jc w:val="left"/>
              <w:textAlignment w:val="auto"/>
              <w:rPr>
                <w:rFonts w:hint="eastAsia" w:ascii="仿宋_GB2312" w:hAnsi="仿宋" w:eastAsia="仿宋_GB2312"/>
                <w:b/>
                <w:bCs/>
                <w:color w:val="auto"/>
                <w:sz w:val="24"/>
                <w:szCs w:val="24"/>
              </w:rPr>
            </w:pPr>
          </w:p>
        </w:tc>
        <w:tc>
          <w:tcPr>
            <w:tcW w:w="17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color w:val="auto"/>
                <w:sz w:val="24"/>
                <w:szCs w:val="24"/>
              </w:rPr>
            </w:pPr>
            <w:r>
              <w:rPr>
                <w:rFonts w:hint="eastAsia" w:ascii="黑体" w:hAnsi="黑体" w:eastAsia="黑体"/>
                <w:color w:val="auto"/>
                <w:sz w:val="24"/>
                <w:szCs w:val="24"/>
              </w:rPr>
              <w:t>时间</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color w:val="auto"/>
                <w:sz w:val="24"/>
                <w:szCs w:val="24"/>
              </w:rPr>
            </w:pPr>
            <w:r>
              <w:rPr>
                <w:rFonts w:hint="eastAsia" w:ascii="黑体" w:hAnsi="黑体" w:eastAsia="黑体"/>
                <w:color w:val="auto"/>
                <w:sz w:val="24"/>
                <w:szCs w:val="24"/>
              </w:rPr>
              <w:t>科目</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color w:val="auto"/>
                <w:sz w:val="24"/>
                <w:szCs w:val="24"/>
              </w:rPr>
            </w:pPr>
            <w:r>
              <w:rPr>
                <w:rFonts w:hint="eastAsia" w:ascii="黑体" w:hAnsi="黑体" w:eastAsia="黑体"/>
                <w:color w:val="auto"/>
                <w:sz w:val="24"/>
                <w:szCs w:val="24"/>
              </w:rPr>
              <w:t>时间</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color w:val="auto"/>
                <w:sz w:val="24"/>
                <w:szCs w:val="24"/>
              </w:rPr>
            </w:pPr>
            <w:r>
              <w:rPr>
                <w:rFonts w:hint="eastAsia" w:ascii="黑体" w:hAnsi="黑体" w:eastAsia="黑体"/>
                <w:color w:val="auto"/>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lang w:val="en-US" w:eastAsia="zh-CN"/>
              </w:rPr>
              <w:t>4</w:t>
            </w:r>
            <w:r>
              <w:rPr>
                <w:rFonts w:hint="eastAsia" w:ascii="仿宋_GB2312" w:hAnsi="仿宋" w:eastAsia="仿宋_GB2312"/>
                <w:color w:val="auto"/>
                <w:sz w:val="24"/>
                <w:szCs w:val="24"/>
              </w:rPr>
              <w:t>月</w:t>
            </w:r>
            <w:r>
              <w:rPr>
                <w:rFonts w:hint="eastAsia" w:ascii="仿宋_GB2312" w:hAnsi="仿宋" w:eastAsia="仿宋_GB2312"/>
                <w:color w:val="auto"/>
                <w:sz w:val="24"/>
                <w:szCs w:val="24"/>
                <w:lang w:val="en-US" w:eastAsia="zh-CN"/>
              </w:rPr>
              <w:t>10</w:t>
            </w:r>
            <w:r>
              <w:rPr>
                <w:rFonts w:hint="eastAsia" w:ascii="仿宋_GB2312" w:hAnsi="仿宋" w:eastAsia="仿宋_GB2312"/>
                <w:color w:val="auto"/>
                <w:sz w:val="24"/>
                <w:szCs w:val="24"/>
              </w:rPr>
              <w:t>日</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 w:eastAsia="仿宋_GB2312"/>
                <w:color w:val="auto"/>
                <w:sz w:val="24"/>
                <w:szCs w:val="24"/>
                <w:lang w:eastAsia="zh-CN"/>
              </w:rPr>
            </w:pPr>
            <w:r>
              <w:rPr>
                <w:rFonts w:hint="eastAsia" w:ascii="仿宋_GB2312" w:hAnsi="仿宋" w:eastAsia="仿宋_GB2312"/>
                <w:color w:val="auto"/>
                <w:sz w:val="24"/>
                <w:szCs w:val="24"/>
                <w:lang w:eastAsia="zh-CN"/>
              </w:rPr>
              <w:t>（</w:t>
            </w:r>
            <w:r>
              <w:rPr>
                <w:rFonts w:hint="eastAsia" w:ascii="仿宋_GB2312" w:hAnsi="仿宋" w:eastAsia="仿宋_GB2312"/>
                <w:color w:val="auto"/>
                <w:sz w:val="24"/>
                <w:szCs w:val="24"/>
                <w:lang w:val="en-US" w:eastAsia="zh-CN"/>
              </w:rPr>
              <w:t>省指定考点</w:t>
            </w:r>
            <w:r>
              <w:rPr>
                <w:rFonts w:hint="eastAsia" w:ascii="仿宋_GB2312" w:hAnsi="仿宋" w:eastAsia="仿宋_GB2312"/>
                <w:color w:val="auto"/>
                <w:sz w:val="24"/>
                <w:szCs w:val="24"/>
                <w:lang w:eastAsia="zh-CN"/>
              </w:rPr>
              <w:t>）</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8:00-10:00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政治理论</w:t>
            </w:r>
          </w:p>
        </w:tc>
        <w:tc>
          <w:tcPr>
            <w:tcW w:w="18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15:00-17:00</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ind w:firstLine="482" w:firstLineChars="200"/>
              <w:jc w:val="left"/>
              <w:textAlignment w:val="auto"/>
              <w:rPr>
                <w:rFonts w:hint="eastAsia" w:ascii="仿宋_GB2312" w:hAnsi="仿宋" w:eastAsia="仿宋_GB2312"/>
                <w:b/>
                <w:bCs/>
                <w:color w:val="auto"/>
                <w:sz w:val="24"/>
                <w:szCs w:val="24"/>
              </w:rPr>
            </w:pPr>
          </w:p>
        </w:tc>
        <w:tc>
          <w:tcPr>
            <w:tcW w:w="1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10:30-12:30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英语</w:t>
            </w:r>
          </w:p>
        </w:tc>
        <w:tc>
          <w:tcPr>
            <w:tcW w:w="18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ind w:firstLine="482" w:firstLineChars="200"/>
              <w:jc w:val="center"/>
              <w:textAlignment w:val="auto"/>
              <w:rPr>
                <w:rFonts w:hint="eastAsia" w:ascii="仿宋_GB2312" w:hAnsi="仿宋" w:eastAsia="仿宋_GB2312"/>
                <w:b/>
                <w:bCs/>
                <w:color w:val="auto"/>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ind w:firstLine="482" w:firstLineChars="200"/>
              <w:jc w:val="center"/>
              <w:textAlignment w:val="auto"/>
              <w:rPr>
                <w:rFonts w:hint="eastAsia" w:ascii="仿宋_GB2312" w:hAnsi="仿宋" w:eastAsia="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lang w:val="en-US" w:eastAsia="zh-CN"/>
              </w:rPr>
            </w:pPr>
            <w:r>
              <w:rPr>
                <w:rFonts w:hint="eastAsia" w:ascii="仿宋_GB2312" w:hAnsi="仿宋" w:eastAsia="仿宋_GB2312"/>
                <w:color w:val="auto"/>
                <w:sz w:val="24"/>
                <w:szCs w:val="24"/>
                <w:lang w:val="en-US" w:eastAsia="zh-CN"/>
              </w:rPr>
              <w:t>4月11日</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lang w:val="en-US" w:eastAsia="zh-CN"/>
              </w:rPr>
              <w:t>（省指定考点）</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9:00-11:</w:t>
            </w:r>
            <w:r>
              <w:rPr>
                <w:rFonts w:hint="eastAsia" w:ascii="仿宋_GB2312" w:hAnsi="仿宋" w:eastAsia="仿宋_GB2312"/>
                <w:color w:val="auto"/>
                <w:sz w:val="24"/>
                <w:szCs w:val="24"/>
                <w:lang w:val="en-US" w:eastAsia="zh-CN"/>
              </w:rPr>
              <w:t>3</w:t>
            </w:r>
            <w:r>
              <w:rPr>
                <w:rFonts w:hint="eastAsia" w:ascii="仿宋_GB2312" w:hAnsi="仿宋" w:eastAsia="仿宋_GB2312"/>
                <w:color w:val="auto"/>
                <w:sz w:val="24"/>
                <w:szCs w:val="24"/>
              </w:rPr>
              <w:t>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lang w:val="en-US" w:eastAsia="zh-CN"/>
              </w:rPr>
              <w:t>专业综合课（省统考）</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olor w:val="auto"/>
                <w:sz w:val="24"/>
                <w:szCs w:val="24"/>
              </w:rPr>
              <w:t>15:00-17:</w:t>
            </w:r>
            <w:r>
              <w:rPr>
                <w:rFonts w:hint="eastAsia" w:ascii="仿宋_GB2312" w:hAnsi="仿宋" w:eastAsia="仿宋_GB2312"/>
                <w:color w:val="auto"/>
                <w:sz w:val="24"/>
                <w:szCs w:val="24"/>
                <w:lang w:val="en-US" w:eastAsia="zh-CN"/>
              </w:rPr>
              <w:t>3</w:t>
            </w:r>
            <w:r>
              <w:rPr>
                <w:rFonts w:hint="eastAsia" w:ascii="仿宋_GB2312" w:hAnsi="仿宋" w:eastAsia="仿宋_GB2312"/>
                <w:color w:val="auto"/>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auto"/>
                <w:sz w:val="24"/>
                <w:szCs w:val="24"/>
              </w:rPr>
            </w:pPr>
            <w:r>
              <w:rPr>
                <w:rFonts w:hint="eastAsia" w:ascii="仿宋_GB2312" w:hAnsi="仿宋" w:eastAsia="仿宋_GB2312" w:cs="Times New Roman"/>
                <w:color w:val="auto"/>
                <w:sz w:val="24"/>
                <w:szCs w:val="24"/>
                <w:lang w:val="en-US" w:eastAsia="zh-CN"/>
              </w:rPr>
              <w:t>专业综合课（自命题）</w:t>
            </w:r>
          </w:p>
        </w:tc>
      </w:tr>
    </w:tbl>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六、志愿填报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（一）2021年普通专升本实行考后知分填报志愿，普通批设置6个院校专业组志愿，建档立卡批次设置1个院校专业组志愿。每个院校专业组最多可填报4个专业志愿及1个是否服从调剂选项。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二）考生只能按自身报考的考试科目组选择相应院校专业组志愿及专业志愿进行填报，参加了专业综合课省统考和招生院校自行组织命题科目考试的考生，可同时填报提前批、普通批和建档立卡批次中符合条件的院校专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（三）志愿填报的具体安排和要求在考试成绩公布后另文通知。</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七、录取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一）由广东省招生委员会根据普通专升本招生计划和考生成绩情况，按照考生类别（职教师资考生、建档立卡考生、普通考生、退役士兵），以及哲学、经济学、法学、教育学、文学、历史学、理学、工学、农学、医学、管理学、艺术学12个学科门类分别划定4科总分和专业综合课的最低录取分数控制线。依据四科总分实行院校专业组平行志愿投档，</w:t>
      </w:r>
      <w:r>
        <w:rPr>
          <w:rFonts w:hint="eastAsia" w:ascii="仿宋_GB2312" w:hAnsi="仿宋" w:eastAsia="仿宋_GB2312" w:cs="Times New Roman"/>
          <w:b/>
          <w:bCs/>
          <w:color w:val="auto"/>
          <w:sz w:val="32"/>
          <w:szCs w:val="32"/>
          <w:lang w:val="en-US" w:eastAsia="zh-CN"/>
        </w:rPr>
        <w:t>考生必须四科总分和专业综合课同时上线才能投档</w:t>
      </w:r>
      <w:r>
        <w:rPr>
          <w:rFonts w:hint="eastAsia" w:ascii="仿宋_GB2312" w:hAnsi="仿宋"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（二）省招办投档后，我校按“分数优先，遵循志愿”的原则录取，即分专业按四科投档总分从高到低录取，总分相同时，优先录取四科总分排位靠前考生。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（三）考生所填报的专业教学点志愿均额满未被录取时，如“服从调剂”，在招生计划尚有空额的前提下，则可调剂到同一院校专业组的其他专业，直至额满为止；考生填“不服从调剂”，则作退档处理。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四）具有普通专科毕业学历的退役士兵填报普通高等学校志愿的，省将根据考生志愿及成绩情况单独划线。在按照省投档规则出档后，按考生填报第一专业志愿全部录取。服役期间荣立三等功及以上奖励的普通高职（专科）退役士兵考生（应届或往届），免试入读我校招生的相关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（五）根据《教育部办公厅关于做好有关高校保送录取世界技能大赛获奖选手工作的通知》（教学厅〔2020〕3号）精神，符合上述相应报考条件的高职应届毕业生，在世界技能组织主办的“世界技能大赛（World Skills Competition）”中获奖的中国国家代表队选手可以保送录取本科层次职业学校和应用型普通本科高校。考生向相关院校提交相关资料申请保送生资格，经院校审核同意后，由院校按规定进行公示，并向省招生办进行备案办理录取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（六）按照教育部相关文件精神，我省将对建档立卡贫困家庭考生按一定比例安排建档立卡考生招生计划，实行计划单列，单独录取。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（七）在正式投档录取结束后，若因上线生源不足、考生不服从专业调剂等原因未完成招生计划的，我校可视情况进行征集志愿录取。录取原则参照第七点执行。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（八）考生凡持假证明、假文凭等虚假材料报名及冒名顶替考试的，取消考试资格；已被录取的，取消录取资格；已取得学籍的，取消学籍；并追究其法律责任。</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八、入学收费标准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被录取考生入学收费标准按省物价局的规定执行。</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九、在校学习期间的管理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普通专升本学生为国家任务生，秋季入学，全日制脱产学习，由招生学校进行思想政治、专科学历、健康情况复查，经复查未通过的，取消其入学资格；复查合格并经注册后，即成为学校的正式学生，插入本科专业三年级学习，并按插入年级的管理办法进行管理，在校期间不可办理转专业。</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十、毕业与就业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普通专升本学生修完本科教学计划规定的课程，德、智、体考核合格，准予本科毕业，发给本科毕业证书。符合《中华人民共和国学位条例》规定者，授予相应的学士学位。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普通专升本学生毕业后的就业办法，与普通高校本科毕业生相同。</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十一、肇庆学院招生办公室联系方式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咨询电话：0758-2716043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邮箱地址：zqxyzsb@zqu.edu.cn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招生网址：http://zsb.zqu.edu.cn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QQ在线：168286964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学校地址：（校本部）肇庆市端州区肇庆大道；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 xml:space="preserve">         （星湖校区）肇庆市端州区星湖大道。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p>
    <w:p>
      <w:pPr>
        <w:pageBreakBefore w:val="0"/>
        <w:kinsoku/>
        <w:wordWrap/>
        <w:overflowPunct/>
        <w:topLinePunct w:val="0"/>
        <w:autoSpaceDE/>
        <w:autoSpaceDN/>
        <w:bidi w:val="0"/>
        <w:spacing w:after="0"/>
        <w:ind w:firstLine="420" w:firstLineChars="200"/>
        <w:jc w:val="both"/>
        <w:textAlignment w:val="auto"/>
        <w:rPr>
          <w:rFonts w:hint="default" w:eastAsia="宋体"/>
          <w:color w:val="auto"/>
          <w:lang w:val="en-US" w:eastAsia="zh-CN"/>
        </w:rPr>
      </w:pPr>
      <w:r>
        <w:rPr>
          <w:rFonts w:hint="eastAsia"/>
          <w:color w:val="auto"/>
        </w:rPr>
        <w:drawing>
          <wp:inline distT="0" distB="0" distL="114300" distR="114300">
            <wp:extent cx="2066290" cy="1811020"/>
            <wp:effectExtent l="0" t="0" r="10160" b="17780"/>
            <wp:docPr id="17" name="图片 16" descr="肇庆学院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肇庆学院官微二维码"/>
                    <pic:cNvPicPr>
                      <a:picLocks noChangeAspect="1"/>
                    </pic:cNvPicPr>
                  </pic:nvPicPr>
                  <pic:blipFill>
                    <a:blip r:embed="rId5"/>
                    <a:stretch>
                      <a:fillRect/>
                    </a:stretch>
                  </pic:blipFill>
                  <pic:spPr>
                    <a:xfrm>
                      <a:off x="0" y="0"/>
                      <a:ext cx="2066290" cy="1811020"/>
                    </a:xfrm>
                    <a:prstGeom prst="rect">
                      <a:avLst/>
                    </a:prstGeom>
                  </pic:spPr>
                </pic:pic>
              </a:graphicData>
            </a:graphic>
          </wp:inline>
        </w:drawing>
      </w:r>
      <w:r>
        <w:rPr>
          <w:rFonts w:hint="eastAsia"/>
          <w:color w:val="auto"/>
          <w:lang w:val="en-US" w:eastAsia="zh-CN"/>
        </w:rPr>
        <w:t xml:space="preserve">            </w:t>
      </w:r>
      <w:r>
        <w:rPr>
          <w:color w:val="auto"/>
        </w:rPr>
        <w:drawing>
          <wp:inline distT="0" distB="0" distL="114300" distR="114300">
            <wp:extent cx="2134870" cy="1860550"/>
            <wp:effectExtent l="0" t="0" r="17780" b="6350"/>
            <wp:docPr id="19" name="图片 18" descr="肇庆学院招生办微信公众号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肇庆学院招生办微信公众号01"/>
                    <pic:cNvPicPr>
                      <a:picLocks noChangeAspect="1"/>
                    </pic:cNvPicPr>
                  </pic:nvPicPr>
                  <pic:blipFill>
                    <a:blip r:embed="rId6"/>
                    <a:stretch>
                      <a:fillRect/>
                    </a:stretch>
                  </pic:blipFill>
                  <pic:spPr>
                    <a:xfrm>
                      <a:off x="0" y="0"/>
                      <a:ext cx="2134870" cy="1860550"/>
                    </a:xfrm>
                    <a:prstGeom prst="rect">
                      <a:avLst/>
                    </a:prstGeom>
                  </pic:spPr>
                </pic:pic>
              </a:graphicData>
            </a:graphic>
          </wp:inline>
        </w:drawing>
      </w:r>
    </w:p>
    <w:p>
      <w:pPr>
        <w:pageBreakBefore w:val="0"/>
        <w:widowControl/>
        <w:kinsoku/>
        <w:wordWrap/>
        <w:overflowPunct/>
        <w:topLinePunct w:val="0"/>
        <w:autoSpaceDE/>
        <w:autoSpaceDN/>
        <w:bidi w:val="0"/>
        <w:snapToGrid w:val="0"/>
        <w:spacing w:line="240" w:lineRule="auto"/>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肇庆学院微信公众号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招办微信公众号</w:t>
      </w:r>
    </w:p>
    <w:p>
      <w:pPr>
        <w:keepNext w:val="0"/>
        <w:keepLines w:val="0"/>
        <w:pageBreakBefore w:val="0"/>
        <w:kinsoku/>
        <w:wordWrap/>
        <w:overflowPunct/>
        <w:topLinePunct w:val="0"/>
        <w:autoSpaceDE/>
        <w:autoSpaceDN/>
        <w:bidi w:val="0"/>
        <w:adjustRightInd w:val="0"/>
        <w:spacing w:line="520" w:lineRule="exact"/>
        <w:ind w:firstLine="640" w:firstLineChars="200"/>
        <w:jc w:val="distribute"/>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w:t>
      </w: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附件：</w:t>
      </w: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 肇庆学院</w:t>
      </w:r>
      <w:r>
        <w:rPr>
          <w:rFonts w:hint="eastAsia" w:ascii="仿宋_GB2312" w:hAnsi="仿宋" w:eastAsia="仿宋_GB2312" w:cs="仿宋"/>
          <w:color w:val="auto"/>
          <w:sz w:val="32"/>
          <w:szCs w:val="32"/>
          <w:lang w:eastAsia="zh-CN"/>
        </w:rPr>
        <w:t>2021</w:t>
      </w:r>
      <w:r>
        <w:rPr>
          <w:rFonts w:hint="eastAsia" w:ascii="仿宋_GB2312" w:hAnsi="仿宋" w:eastAsia="仿宋_GB2312" w:cs="仿宋"/>
          <w:color w:val="auto"/>
          <w:sz w:val="32"/>
          <w:szCs w:val="32"/>
        </w:rPr>
        <w:t>年</w:t>
      </w:r>
      <w:r>
        <w:rPr>
          <w:rFonts w:hint="eastAsia" w:ascii="仿宋_GB2312" w:hAnsi="仿宋" w:eastAsia="仿宋_GB2312"/>
          <w:color w:val="auto"/>
          <w:sz w:val="32"/>
          <w:szCs w:val="32"/>
          <w:lang w:eastAsia="zh-CN"/>
        </w:rPr>
        <w:t>普通专升本</w:t>
      </w:r>
      <w:r>
        <w:rPr>
          <w:rFonts w:hint="eastAsia" w:ascii="仿宋_GB2312" w:hAnsi="仿宋" w:eastAsia="仿宋_GB2312" w:cs="仿宋"/>
          <w:color w:val="auto"/>
          <w:sz w:val="32"/>
          <w:szCs w:val="32"/>
        </w:rPr>
        <w:t>招生答考生问</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2.广东省2021年普通高等学校专升本(含三二分段专升本转段)招生统一考试考生诚信考试承诺书 </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3.广东省2021年普通高等学校专升本补报资料承诺书</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4.广东省2021年普通高校专升本考生专科毕业学历验证方式</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r>
        <w:rPr>
          <w:rFonts w:hint="eastAsia" w:ascii="仿宋_GB2312" w:hAnsi="华文仿宋" w:eastAsia="仿宋_GB2312"/>
          <w:color w:val="000000"/>
          <w:sz w:val="32"/>
          <w:szCs w:val="32"/>
        </w:rPr>
        <w:t>5.</w:t>
      </w:r>
      <w:r>
        <w:rPr>
          <w:rFonts w:hint="eastAsia" w:ascii="仿宋_GB2312" w:hAnsi="仿宋" w:eastAsia="仿宋_GB2312"/>
          <w:bCs/>
          <w:sz w:val="32"/>
          <w:szCs w:val="32"/>
        </w:rPr>
        <w:t>广东省2021年普通高校专升本招生体格检查表</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p>
    <w:p>
      <w:pPr>
        <w:keepNext w:val="0"/>
        <w:keepLines w:val="0"/>
        <w:pageBreakBefore w:val="0"/>
        <w:kinsoku/>
        <w:wordWrap/>
        <w:overflowPunct/>
        <w:topLinePunct w:val="0"/>
        <w:autoSpaceDE/>
        <w:autoSpaceDN/>
        <w:bidi w:val="0"/>
        <w:spacing w:line="520" w:lineRule="exact"/>
        <w:ind w:firstLine="480" w:firstLineChars="200"/>
        <w:textAlignment w:val="auto"/>
        <w:rPr>
          <w:rFonts w:hint="eastAsia" w:ascii="宋体" w:hAnsi="宋体" w:cs="宋体"/>
          <w:color w:val="auto"/>
          <w:sz w:val="24"/>
        </w:rPr>
      </w:pPr>
    </w:p>
    <w:p>
      <w:pPr>
        <w:keepNext w:val="0"/>
        <w:keepLines w:val="0"/>
        <w:pageBreakBefore w:val="0"/>
        <w:kinsoku/>
        <w:wordWrap/>
        <w:overflowPunct/>
        <w:topLinePunct w:val="0"/>
        <w:autoSpaceDE/>
        <w:autoSpaceDN/>
        <w:bidi w:val="0"/>
        <w:spacing w:line="520" w:lineRule="exact"/>
        <w:ind w:firstLine="6400" w:firstLineChars="20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招生办公室</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宋体" w:hAnsi="宋体" w:cs="宋体"/>
          <w:color w:val="auto"/>
          <w:sz w:val="24"/>
        </w:rPr>
      </w:pPr>
      <w:r>
        <w:rPr>
          <w:rFonts w:hint="eastAsia" w:ascii="仿宋_GB2312" w:hAnsi="宋体" w:eastAsia="仿宋_GB2312"/>
          <w:color w:val="auto"/>
          <w:sz w:val="32"/>
          <w:szCs w:val="32"/>
          <w:lang w:val="en-US" w:eastAsia="zh-CN"/>
        </w:rPr>
        <w:t xml:space="preserve">                                 2021年1月17日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color w:val="auto"/>
          <w:sz w:val="24"/>
          <w:szCs w:val="24"/>
          <w:lang w:val="en-US" w:eastAsia="zh-CN"/>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ageBreakBefore w:val="0"/>
        <w:widowControl/>
        <w:kinsoku/>
        <w:wordWrap/>
        <w:overflowPunct/>
        <w:topLinePunct w:val="0"/>
        <w:autoSpaceDE/>
        <w:autoSpaceDN/>
        <w:bidi w:val="0"/>
        <w:snapToGrid w:val="0"/>
        <w:spacing w:line="560" w:lineRule="exact"/>
        <w:textAlignment w:val="auto"/>
        <w:outlineLvl w:val="0"/>
        <w:rPr>
          <w:rFonts w:hint="default" w:ascii="仿宋_GB2312" w:hAnsi="仿宋" w:eastAsia="仿宋_GB2312" w:cs="仿宋"/>
          <w:color w:val="auto"/>
          <w:sz w:val="32"/>
          <w:szCs w:val="32"/>
          <w:lang w:val="en-US" w:eastAsia="zh-CN"/>
        </w:rPr>
      </w:pPr>
      <w:r>
        <w:rPr>
          <w:rFonts w:hint="default" w:ascii="仿宋_GB2312" w:hAnsi="仿宋" w:eastAsia="仿宋_GB2312" w:cs="仿宋"/>
          <w:color w:val="auto"/>
          <w:sz w:val="32"/>
          <w:szCs w:val="32"/>
          <w:lang w:val="en-US" w:eastAsia="zh-CN"/>
        </w:rPr>
        <w:t>附件1：</w:t>
      </w:r>
    </w:p>
    <w:p>
      <w:pPr>
        <w:pageBreakBefore w:val="0"/>
        <w:kinsoku/>
        <w:wordWrap/>
        <w:overflowPunct/>
        <w:topLinePunct w:val="0"/>
        <w:autoSpaceDE/>
        <w:autoSpaceDN/>
        <w:bidi w:val="0"/>
        <w:snapToGrid w:val="0"/>
        <w:spacing w:line="460" w:lineRule="exact"/>
        <w:jc w:val="center"/>
        <w:textAlignment w:val="auto"/>
        <w:rPr>
          <w:rFonts w:hint="eastAsia" w:ascii="方正小标宋简体" w:eastAsia="方正小标宋简体"/>
          <w:color w:val="000000"/>
          <w:sz w:val="44"/>
          <w:szCs w:val="44"/>
        </w:rPr>
      </w:pPr>
    </w:p>
    <w:p>
      <w:pPr>
        <w:pageBreakBefore w:val="0"/>
        <w:kinsoku/>
        <w:wordWrap/>
        <w:overflowPunct/>
        <w:topLinePunct w:val="0"/>
        <w:autoSpaceDE/>
        <w:autoSpaceDN/>
        <w:bidi w:val="0"/>
        <w:snapToGrid w:val="0"/>
        <w:spacing w:line="46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肇庆学院20</w:t>
      </w:r>
      <w:r>
        <w:rPr>
          <w:rFonts w:hint="eastAsia" w:ascii="方正小标宋简体" w:eastAsia="方正小标宋简体"/>
          <w:color w:val="000000"/>
          <w:sz w:val="44"/>
          <w:szCs w:val="44"/>
          <w:lang w:val="en-US" w:eastAsia="zh-CN"/>
        </w:rPr>
        <w:t>21</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eastAsia="zh-CN"/>
        </w:rPr>
        <w:t>普通专升本</w:t>
      </w:r>
      <w:r>
        <w:rPr>
          <w:rFonts w:hint="eastAsia" w:ascii="方正小标宋简体" w:eastAsia="方正小标宋简体"/>
          <w:color w:val="000000"/>
          <w:sz w:val="44"/>
          <w:szCs w:val="44"/>
        </w:rPr>
        <w:t>招生答考生问</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一、请问今年普通专升本招生有哪些高职院校分教点？计划是怎么样的？办学地点在哪儿？收费如何？</w:t>
      </w:r>
    </w:p>
    <w:p>
      <w:pPr>
        <w:pageBreakBefore w:val="0"/>
        <w:kinsoku/>
        <w:wordWrap/>
        <w:overflowPunct/>
        <w:topLinePunct w:val="0"/>
        <w:autoSpaceDE/>
        <w:autoSpaceDN/>
        <w:bidi w:val="0"/>
        <w:spacing w:line="400" w:lineRule="exact"/>
        <w:ind w:firstLine="562" w:firstLineChars="200"/>
        <w:jc w:val="center"/>
        <w:textAlignment w:val="auto"/>
        <w:rPr>
          <w:rFonts w:hint="eastAsia" w:ascii="Times New Roman" w:hAnsi="Times New Roman"/>
          <w:b/>
          <w:bCs/>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400" w:lineRule="exact"/>
        <w:ind w:firstLine="562" w:firstLineChars="200"/>
        <w:jc w:val="center"/>
        <w:textAlignment w:val="auto"/>
        <w:rPr>
          <w:rFonts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肇庆学院</w:t>
      </w:r>
      <w:r>
        <w:rPr>
          <w:rFonts w:hint="eastAsia"/>
          <w:b/>
          <w:bCs/>
          <w:color w:val="000000" w:themeColor="text1"/>
          <w:sz w:val="28"/>
          <w:szCs w:val="28"/>
          <w:lang w:eastAsia="zh-CN"/>
          <w14:textFill>
            <w14:solidFill>
              <w14:schemeClr w14:val="tx1"/>
            </w14:solidFill>
          </w14:textFill>
        </w:rPr>
        <w:t>普通专升本分教点招生</w:t>
      </w:r>
      <w:r>
        <w:rPr>
          <w:rFonts w:hint="eastAsia" w:ascii="Times New Roman" w:hAnsi="Times New Roman"/>
          <w:b/>
          <w:bCs/>
          <w:color w:val="000000" w:themeColor="text1"/>
          <w:sz w:val="28"/>
          <w:szCs w:val="28"/>
          <w14:textFill>
            <w14:solidFill>
              <w14:schemeClr w14:val="tx1"/>
            </w14:solidFill>
          </w14:textFill>
        </w:rPr>
        <w:t>计划表</w:t>
      </w:r>
    </w:p>
    <w:tbl>
      <w:tblPr>
        <w:tblStyle w:val="9"/>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43"/>
        <w:gridCol w:w="709"/>
        <w:gridCol w:w="2877"/>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所在二级学院</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专业</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计划</w:t>
            </w:r>
          </w:p>
        </w:tc>
        <w:tc>
          <w:tcPr>
            <w:tcW w:w="28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b/>
                <w:bCs/>
                <w:color w:val="000000" w:themeColor="text1"/>
                <w:sz w:val="22"/>
                <w14:textFill>
                  <w14:solidFill>
                    <w14:schemeClr w14:val="tx1"/>
                  </w14:solidFill>
                </w14:textFill>
              </w:rPr>
            </w:pPr>
            <w:r>
              <w:rPr>
                <w:rFonts w:hint="eastAsia" w:ascii="Times New Roman" w:hAnsi="Times New Roman"/>
                <w:b/>
                <w:bCs/>
                <w:color w:val="000000" w:themeColor="text1"/>
                <w:sz w:val="22"/>
                <w14:textFill>
                  <w14:solidFill>
                    <w14:schemeClr w14:val="tx1"/>
                  </w14:solidFill>
                </w14:textFill>
              </w:rPr>
              <w:t>教学</w:t>
            </w:r>
            <w:r>
              <w:rPr>
                <w:rFonts w:ascii="Times New Roman" w:hAnsi="Times New Roman"/>
                <w:b/>
                <w:bCs/>
                <w:color w:val="000000" w:themeColor="text1"/>
                <w:sz w:val="22"/>
                <w14:textFill>
                  <w14:solidFill>
                    <w14:schemeClr w14:val="tx1"/>
                  </w14:solidFill>
                </w14:textFill>
              </w:rPr>
              <w:t>地点</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经济与管理学院</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国际经济与贸易</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55</w:t>
            </w:r>
          </w:p>
        </w:tc>
        <w:tc>
          <w:tcPr>
            <w:tcW w:w="28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广东科学技术职业学院</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（珠海校区）</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olor w:val="000000" w:themeColor="text1"/>
                <w:sz w:val="22"/>
                <w14:textFill>
                  <w14:solidFill>
                    <w14:schemeClr w14:val="tx1"/>
                  </w14:solidFill>
                </w14:textFill>
              </w:rPr>
            </w:pPr>
            <w:r>
              <w:rPr>
                <w:rFonts w:hint="eastAsia" w:ascii="Times New Roman" w:hAnsi="Times New Roman"/>
                <w:color w:val="000000" w:themeColor="text1"/>
                <w:sz w:val="22"/>
                <w:lang w:eastAsia="zh-CN"/>
                <w14:textFill>
                  <w14:solidFill>
                    <w14:schemeClr w14:val="tx1"/>
                  </w14:solidFill>
                </w14:textFill>
              </w:rPr>
              <w:t>学费：</w:t>
            </w:r>
            <w:r>
              <w:rPr>
                <w:rFonts w:hint="eastAsia" w:ascii="Times New Roman" w:hAnsi="Times New Roman"/>
                <w:color w:val="000000" w:themeColor="text1"/>
                <w:sz w:val="22"/>
                <w14:textFill>
                  <w14:solidFill>
                    <w14:schemeClr w14:val="tx1"/>
                  </w14:solidFill>
                </w14:textFill>
              </w:rPr>
              <w:t>4590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olor w:val="000000" w:themeColor="text1"/>
                <w:sz w:val="22"/>
                <w:lang w:val="en-US" w:eastAsia="zh-CN"/>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住宿费：1700-1800元</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0756－7796211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会计学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50</w:t>
            </w:r>
          </w:p>
        </w:tc>
        <w:tc>
          <w:tcPr>
            <w:tcW w:w="28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广东科学技术职业学院</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（珠海校区）</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olor w:val="000000" w:themeColor="text1"/>
                <w:sz w:val="22"/>
                <w14:textFill>
                  <w14:solidFill>
                    <w14:schemeClr w14:val="tx1"/>
                  </w14:solidFill>
                </w14:textFill>
              </w:rPr>
            </w:pPr>
            <w:r>
              <w:rPr>
                <w:rFonts w:hint="eastAsia" w:ascii="Times New Roman" w:hAnsi="Times New Roman"/>
                <w:color w:val="000000" w:themeColor="text1"/>
                <w:sz w:val="22"/>
                <w:lang w:eastAsia="zh-CN"/>
                <w14:textFill>
                  <w14:solidFill>
                    <w14:schemeClr w14:val="tx1"/>
                  </w14:solidFill>
                </w14:textFill>
              </w:rPr>
              <w:t>学费：</w:t>
            </w:r>
            <w:r>
              <w:rPr>
                <w:rFonts w:hint="eastAsia" w:ascii="Times New Roman" w:hAnsi="Times New Roman"/>
                <w:color w:val="000000" w:themeColor="text1"/>
                <w:sz w:val="22"/>
                <w14:textFill>
                  <w14:solidFill>
                    <w14:schemeClr w14:val="tx1"/>
                  </w14:solidFill>
                </w14:textFill>
              </w:rPr>
              <w:t>4590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住宿费：1700-1800元</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0756－7796211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市场营销</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50</w:t>
            </w:r>
          </w:p>
        </w:tc>
        <w:tc>
          <w:tcPr>
            <w:tcW w:w="28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广东水利电力职业技术学院（从化校区）</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olor w:val="000000" w:themeColor="text1"/>
                <w:sz w:val="22"/>
                <w14:textFill>
                  <w14:solidFill>
                    <w14:schemeClr w14:val="tx1"/>
                  </w14:solidFill>
                </w14:textFill>
              </w:rPr>
            </w:pPr>
            <w:r>
              <w:rPr>
                <w:rFonts w:hint="eastAsia" w:ascii="Times New Roman" w:hAnsi="Times New Roman"/>
                <w:color w:val="000000" w:themeColor="text1"/>
                <w:sz w:val="22"/>
                <w:lang w:eastAsia="zh-CN"/>
                <w14:textFill>
                  <w14:solidFill>
                    <w14:schemeClr w14:val="tx1"/>
                  </w14:solidFill>
                </w14:textFill>
              </w:rPr>
              <w:t>学费：</w:t>
            </w:r>
            <w:r>
              <w:rPr>
                <w:rFonts w:hint="eastAsia" w:ascii="Times New Roman" w:hAnsi="Times New Roman"/>
                <w:color w:val="000000" w:themeColor="text1"/>
                <w:sz w:val="22"/>
                <w14:textFill>
                  <w14:solidFill>
                    <w14:schemeClr w14:val="tx1"/>
                  </w14:solidFill>
                </w14:textFill>
              </w:rPr>
              <w:t>4590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olor w:val="000000" w:themeColor="text1"/>
                <w:sz w:val="22"/>
                <w:lang w:val="en-US"/>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住宿费：1000元</w:t>
            </w:r>
            <w:r>
              <w:rPr>
                <w:rFonts w:hint="eastAsia" w:ascii="Times New Roman" w:hAnsi="Times New Roman"/>
                <w:color w:val="000000" w:themeColor="text1"/>
                <w:sz w:val="22"/>
                <w:lang w:eastAsia="zh-CN"/>
                <w14:textFill>
                  <w14:solidFill>
                    <w14:schemeClr w14:val="tx1"/>
                  </w14:solidFill>
                </w14:textFill>
              </w:rPr>
              <w:t>；</w:t>
            </w:r>
            <w:r>
              <w:rPr>
                <w:rFonts w:hint="eastAsia" w:ascii="Times New Roman" w:hAnsi="Times New Roman"/>
                <w:color w:val="000000" w:themeColor="text1"/>
                <w:sz w:val="22"/>
                <w:lang w:val="en-US" w:eastAsia="zh-CN"/>
                <w14:textFill>
                  <w14:solidFill>
                    <w14:schemeClr w14:val="tx1"/>
                  </w14:solidFill>
                </w14:textFill>
              </w:rPr>
              <w:t xml:space="preserve">   </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020－87993480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旅游与历史文化学院</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旅游管理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宋体"/>
                <w:b/>
                <w:bCs/>
                <w:color w:val="000000" w:themeColor="text1"/>
                <w:sz w:val="22"/>
                <w:lang w:eastAsia="zh-CN"/>
                <w14:textFill>
                  <w14:solidFill>
                    <w14:schemeClr w14:val="tx1"/>
                  </w14:solidFill>
                </w14:textFill>
              </w:rPr>
            </w:pPr>
            <w:r>
              <w:rPr>
                <w:rFonts w:hint="eastAsia"/>
                <w:b/>
                <w:bCs/>
                <w:color w:val="000000" w:themeColor="text1"/>
                <w:sz w:val="22"/>
                <w:lang w:eastAsia="zh-CN"/>
                <w14:textFill>
                  <w14:solidFill>
                    <w14:schemeClr w14:val="tx1"/>
                  </w14:solidFill>
                </w14:textFill>
              </w:rPr>
              <w:t>55</w:t>
            </w:r>
          </w:p>
        </w:tc>
        <w:tc>
          <w:tcPr>
            <w:tcW w:w="28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广东科学技术职业学院</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（珠海校区）</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color w:val="000000" w:themeColor="text1"/>
                <w:sz w:val="22"/>
                <w14:textFill>
                  <w14:solidFill>
                    <w14:schemeClr w14:val="tx1"/>
                  </w14:solidFill>
                </w14:textFill>
              </w:rPr>
            </w:pPr>
            <w:r>
              <w:rPr>
                <w:rFonts w:hint="eastAsia" w:ascii="Times New Roman" w:hAnsi="Times New Roman"/>
                <w:color w:val="000000" w:themeColor="text1"/>
                <w:sz w:val="22"/>
                <w:lang w:eastAsia="zh-CN"/>
                <w14:textFill>
                  <w14:solidFill>
                    <w14:schemeClr w14:val="tx1"/>
                  </w14:solidFill>
                </w14:textFill>
              </w:rPr>
              <w:t>学费：</w:t>
            </w:r>
            <w:r>
              <w:rPr>
                <w:rFonts w:hint="eastAsia" w:ascii="Times New Roman" w:hAnsi="Times New Roman"/>
                <w:color w:val="000000" w:themeColor="text1"/>
                <w:sz w:val="22"/>
                <w14:textFill>
                  <w14:solidFill>
                    <w14:schemeClr w14:val="tx1"/>
                  </w14:solidFill>
                </w14:textFill>
              </w:rPr>
              <w:t>4590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住宿费：1700-1800元</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0756－7796211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说明：普通专升本分教点的招生计划、办学地点和录取规则等信息请以广东省教育考试院公布为准。</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二、请问网上报名有哪些注意事项？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考生姓名和身份证号等信息是录取入学后注册学籍的重要信息，请在网上报名时慎重输入，仔细确认；通讯地址与联系电话不要随意更换，以确保录取通知书的查收和方便联系；考生网上报名后，请牢记网上预报名号及密码。</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三、请问什么时候录取？如何查询成绩和录取情况？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普通专升本录取约在5月下旬。考生成绩和录取查询留意网站公布，可登陆省招办网站</w:t>
      </w:r>
      <w:r>
        <w:rPr>
          <w:rFonts w:hint="eastAsia" w:ascii="仿宋_GB2312" w:hAnsi="宋体" w:eastAsia="仿宋_GB2312" w:cs="宋体"/>
          <w:color w:val="auto"/>
          <w:sz w:val="32"/>
          <w:szCs w:val="32"/>
          <w:lang w:val="en-US" w:eastAsia="zh-CN"/>
        </w:rPr>
        <w:fldChar w:fldCharType="begin"/>
      </w:r>
      <w:r>
        <w:rPr>
          <w:rFonts w:hint="eastAsia" w:ascii="仿宋_GB2312" w:hAnsi="宋体" w:eastAsia="仿宋_GB2312" w:cs="宋体"/>
          <w:color w:val="auto"/>
          <w:sz w:val="32"/>
          <w:szCs w:val="32"/>
          <w:lang w:val="en-US" w:eastAsia="zh-CN"/>
        </w:rPr>
        <w:instrText xml:space="preserve"> HYPERLINK "http://www.eeagd.edu.cn/" </w:instrText>
      </w:r>
      <w:r>
        <w:rPr>
          <w:rFonts w:hint="eastAsia" w:ascii="仿宋_GB2312" w:hAnsi="宋体" w:eastAsia="仿宋_GB2312" w:cs="宋体"/>
          <w:color w:val="auto"/>
          <w:sz w:val="32"/>
          <w:szCs w:val="32"/>
          <w:lang w:val="en-US" w:eastAsia="zh-CN"/>
        </w:rPr>
        <w:fldChar w:fldCharType="separate"/>
      </w:r>
      <w:r>
        <w:rPr>
          <w:rFonts w:hint="eastAsia" w:ascii="仿宋_GB2312" w:hAnsi="宋体" w:eastAsia="仿宋_GB2312" w:cs="宋体"/>
          <w:color w:val="auto"/>
          <w:sz w:val="32"/>
          <w:szCs w:val="32"/>
          <w:lang w:val="en-US" w:eastAsia="zh-CN"/>
        </w:rPr>
        <w:t>http://www.e</w:t>
      </w:r>
      <w:bookmarkStart w:id="0" w:name="_Hlt309206858"/>
      <w:r>
        <w:rPr>
          <w:rFonts w:hint="eastAsia" w:ascii="仿宋_GB2312" w:hAnsi="宋体" w:eastAsia="仿宋_GB2312" w:cs="宋体"/>
          <w:color w:val="auto"/>
          <w:sz w:val="32"/>
          <w:szCs w:val="32"/>
          <w:lang w:val="en-US" w:eastAsia="zh-CN"/>
        </w:rPr>
        <w:t>e</w:t>
      </w:r>
      <w:bookmarkEnd w:id="0"/>
      <w:r>
        <w:rPr>
          <w:rFonts w:hint="eastAsia" w:ascii="仿宋_GB2312" w:hAnsi="宋体" w:eastAsia="仿宋_GB2312" w:cs="宋体"/>
          <w:color w:val="auto"/>
          <w:sz w:val="32"/>
          <w:szCs w:val="32"/>
          <w:lang w:val="en-US" w:eastAsia="zh-CN"/>
        </w:rPr>
        <w:t>agd.edu.cn</w:t>
      </w:r>
      <w:r>
        <w:rPr>
          <w:rFonts w:hint="eastAsia" w:ascii="仿宋_GB2312" w:hAnsi="宋体" w:eastAsia="仿宋_GB2312" w:cs="宋体"/>
          <w:color w:val="auto"/>
          <w:sz w:val="32"/>
          <w:szCs w:val="32"/>
          <w:lang w:val="en-US" w:eastAsia="zh-CN"/>
        </w:rPr>
        <w:fldChar w:fldCharType="end"/>
      </w:r>
      <w:r>
        <w:rPr>
          <w:rFonts w:hint="eastAsia" w:ascii="仿宋_GB2312" w:hAnsi="宋体" w:eastAsia="仿宋_GB2312" w:cs="宋体"/>
          <w:color w:val="auto"/>
          <w:sz w:val="32"/>
          <w:szCs w:val="32"/>
          <w:lang w:val="en-US" w:eastAsia="zh-CN"/>
        </w:rPr>
        <w:t>或学校招生办网站</w:t>
      </w:r>
      <w:r>
        <w:rPr>
          <w:rFonts w:hint="eastAsia" w:ascii="仿宋_GB2312" w:hAnsi="宋体" w:eastAsia="仿宋_GB2312" w:cs="宋体"/>
          <w:color w:val="auto"/>
          <w:sz w:val="32"/>
          <w:szCs w:val="32"/>
          <w:lang w:val="en-US" w:eastAsia="zh-CN"/>
        </w:rPr>
        <w:fldChar w:fldCharType="begin"/>
      </w:r>
      <w:r>
        <w:rPr>
          <w:rFonts w:hint="eastAsia" w:ascii="仿宋_GB2312" w:hAnsi="宋体" w:eastAsia="仿宋_GB2312" w:cs="宋体"/>
          <w:color w:val="auto"/>
          <w:sz w:val="32"/>
          <w:szCs w:val="32"/>
          <w:lang w:val="en-US" w:eastAsia="zh-CN"/>
        </w:rPr>
        <w:instrText xml:space="preserve"> HYPERLINK "http://zsb.zqu.edu.cn/" </w:instrText>
      </w:r>
      <w:r>
        <w:rPr>
          <w:rFonts w:hint="eastAsia" w:ascii="仿宋_GB2312" w:hAnsi="宋体" w:eastAsia="仿宋_GB2312" w:cs="宋体"/>
          <w:color w:val="auto"/>
          <w:sz w:val="32"/>
          <w:szCs w:val="32"/>
          <w:lang w:val="en-US" w:eastAsia="zh-CN"/>
        </w:rPr>
        <w:fldChar w:fldCharType="separate"/>
      </w:r>
      <w:r>
        <w:rPr>
          <w:rFonts w:hint="eastAsia" w:ascii="仿宋_GB2312" w:hAnsi="宋体" w:eastAsia="仿宋_GB2312" w:cs="宋体"/>
          <w:color w:val="auto"/>
          <w:sz w:val="32"/>
          <w:szCs w:val="32"/>
          <w:lang w:val="en-US" w:eastAsia="zh-CN"/>
        </w:rPr>
        <w:t>http://zsb.</w:t>
      </w:r>
      <w:bookmarkStart w:id="1" w:name="_Hlt309206862"/>
      <w:r>
        <w:rPr>
          <w:rFonts w:hint="eastAsia" w:ascii="仿宋_GB2312" w:hAnsi="宋体" w:eastAsia="仿宋_GB2312" w:cs="宋体"/>
          <w:color w:val="auto"/>
          <w:sz w:val="32"/>
          <w:szCs w:val="32"/>
          <w:lang w:val="en-US" w:eastAsia="zh-CN"/>
        </w:rPr>
        <w:t>z</w:t>
      </w:r>
      <w:bookmarkEnd w:id="1"/>
      <w:r>
        <w:rPr>
          <w:rFonts w:hint="eastAsia" w:ascii="仿宋_GB2312" w:hAnsi="宋体" w:eastAsia="仿宋_GB2312" w:cs="宋体"/>
          <w:color w:val="auto"/>
          <w:sz w:val="32"/>
          <w:szCs w:val="32"/>
          <w:lang w:val="en-US" w:eastAsia="zh-CN"/>
        </w:rPr>
        <w:t>qu.edu.cn/</w:t>
      </w:r>
      <w:r>
        <w:rPr>
          <w:rFonts w:hint="eastAsia" w:ascii="仿宋_GB2312" w:hAnsi="宋体" w:eastAsia="仿宋_GB2312" w:cs="宋体"/>
          <w:color w:val="auto"/>
          <w:sz w:val="32"/>
          <w:szCs w:val="32"/>
          <w:lang w:val="en-US" w:eastAsia="zh-CN"/>
        </w:rPr>
        <w:fldChar w:fldCharType="end"/>
      </w:r>
      <w:r>
        <w:rPr>
          <w:rFonts w:hint="eastAsia" w:ascii="仿宋_GB2312" w:hAnsi="宋体" w:eastAsia="仿宋_GB2312" w:cs="宋体"/>
          <w:color w:val="auto"/>
          <w:sz w:val="32"/>
          <w:szCs w:val="32"/>
          <w:lang w:val="en-US" w:eastAsia="zh-CN"/>
        </w:rPr>
        <w:t>进行查询。</w:t>
      </w:r>
    </w:p>
    <w:p>
      <w:pPr>
        <w:pStyle w:val="4"/>
        <w:pageBreakBefore w:val="0"/>
        <w:kinsoku/>
        <w:wordWrap/>
        <w:overflowPunct/>
        <w:topLinePunct w:val="0"/>
        <w:autoSpaceDE/>
        <w:autoSpaceDN/>
        <w:bidi w:val="0"/>
        <w:spacing w:line="550" w:lineRule="exact"/>
        <w:ind w:firstLine="640" w:firstLineChars="200"/>
        <w:textAlignment w:val="auto"/>
        <w:outlineLvl w:val="0"/>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四、学校有没有开办考前辅导班？有没有往年真题？有没有考试要求和专业参考书？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themeColor="text1"/>
          <w:sz w:val="32"/>
          <w:szCs w:val="32"/>
          <w:lang w:val="en-US" w:eastAsia="zh-CN"/>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为净化招生考试环境、体现公平竞争，学校不开办任何考前辅导班。往年真题也不对外公布。省统考科目的考试要求由广东省教育考试院公布，我校自命题科目的考试要求可登录我校招生办网站http://zsb.zqu.edu.cn/查阅，各考试科目的参考书由考生自行购买。</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五、请问监督方式有哪些？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color w:val="000000" w:themeColor="text1"/>
          <w:sz w:val="32"/>
          <w:szCs w:val="32"/>
          <w:lang w:val="en-US" w:eastAsia="zh-CN"/>
          <w14:textFill>
            <w14:solidFill>
              <w14:schemeClr w14:val="tx1"/>
            </w14:solidFill>
          </w14:textFill>
        </w:rPr>
        <w:sectPr>
          <w:pgSz w:w="11906" w:h="16838"/>
          <w:pgMar w:top="1134" w:right="850" w:bottom="1134" w:left="1134"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宋体" w:eastAsia="仿宋_GB2312" w:cs="宋体"/>
          <w:color w:val="000000" w:themeColor="text1"/>
          <w:sz w:val="32"/>
          <w:szCs w:val="32"/>
          <w:lang w:val="en-US" w:eastAsia="zh-CN"/>
          <w14:textFill>
            <w14:solidFill>
              <w14:schemeClr w14:val="tx1"/>
            </w14:solidFill>
          </w14:textFill>
        </w:rPr>
        <w:t>监督申诉电话：0758-2716246，请考生密切关注招生办网页和“广东肇庆学院招生办”微信公众号公布的最新消息。</w:t>
      </w:r>
    </w:p>
    <w:p>
      <w:pPr>
        <w:pageBreakBefore w:val="0"/>
        <w:widowControl/>
        <w:kinsoku/>
        <w:wordWrap/>
        <w:overflowPunct/>
        <w:topLinePunct w:val="0"/>
        <w:autoSpaceDE/>
        <w:autoSpaceDN/>
        <w:bidi w:val="0"/>
        <w:snapToGrid w:val="0"/>
        <w:spacing w:line="460" w:lineRule="exact"/>
        <w:jc w:val="left"/>
        <w:textAlignment w:val="auto"/>
        <w:outlineLvl w:val="0"/>
        <w:rPr>
          <w:rFonts w:ascii="黑体" w:hAnsi="黑体" w:eastAsia="黑体"/>
          <w:color w:val="000000"/>
          <w:sz w:val="32"/>
          <w:szCs w:val="32"/>
        </w:rPr>
      </w:pPr>
      <w:r>
        <w:rPr>
          <w:rFonts w:ascii="黑体" w:hAnsi="黑体" w:eastAsia="黑体"/>
          <w:color w:val="000000"/>
          <w:sz w:val="32"/>
          <w:szCs w:val="32"/>
        </w:rPr>
        <w:t>附件2</w:t>
      </w:r>
    </w:p>
    <w:p>
      <w:pPr>
        <w:pageBreakBefore w:val="0"/>
        <w:kinsoku/>
        <w:wordWrap/>
        <w:overflowPunct/>
        <w:topLinePunct w:val="0"/>
        <w:autoSpaceDE/>
        <w:autoSpaceDN/>
        <w:bidi w:val="0"/>
        <w:snapToGrid w:val="0"/>
        <w:spacing w:line="460" w:lineRule="exact"/>
        <w:ind w:firstLine="880" w:firstLineChars="200"/>
        <w:jc w:val="center"/>
        <w:textAlignment w:val="auto"/>
        <w:rPr>
          <w:rFonts w:ascii="方正小标宋简体" w:eastAsia="方正小标宋简体"/>
          <w:color w:val="000000"/>
          <w:sz w:val="44"/>
          <w:szCs w:val="44"/>
        </w:rPr>
      </w:pPr>
    </w:p>
    <w:p>
      <w:pPr>
        <w:pageBreakBefore w:val="0"/>
        <w:kinsoku/>
        <w:wordWrap/>
        <w:overflowPunct/>
        <w:topLinePunct w:val="0"/>
        <w:autoSpaceDE/>
        <w:autoSpaceDN/>
        <w:bidi w:val="0"/>
        <w:snapToGrid w:val="0"/>
        <w:spacing w:line="460" w:lineRule="exact"/>
        <w:ind w:firstLine="880" w:firstLineChars="200"/>
        <w:jc w:val="center"/>
        <w:textAlignment w:val="auto"/>
        <w:rPr>
          <w:rFonts w:ascii="方正小标宋简体" w:eastAsia="方正小标宋简体"/>
          <w:color w:val="000000"/>
          <w:sz w:val="44"/>
          <w:szCs w:val="44"/>
        </w:rPr>
      </w:pPr>
      <w:r>
        <w:rPr>
          <w:rFonts w:ascii="方正小标宋简体" w:eastAsia="方正小标宋简体"/>
          <w:color w:val="000000"/>
          <w:sz w:val="44"/>
          <w:szCs w:val="44"/>
        </w:rPr>
        <w:t> 广东省20</w:t>
      </w:r>
      <w:r>
        <w:rPr>
          <w:rFonts w:hint="eastAsia" w:ascii="方正小标宋简体" w:eastAsia="方正小标宋简体"/>
          <w:color w:val="000000"/>
          <w:sz w:val="44"/>
          <w:szCs w:val="44"/>
        </w:rPr>
        <w:t>21</w:t>
      </w:r>
      <w:r>
        <w:rPr>
          <w:rFonts w:ascii="方正小标宋简体" w:eastAsia="方正小标宋简体"/>
          <w:color w:val="000000"/>
          <w:sz w:val="44"/>
          <w:szCs w:val="44"/>
        </w:rPr>
        <w:t>年</w:t>
      </w:r>
      <w:r>
        <w:rPr>
          <w:rFonts w:hint="eastAsia" w:ascii="方正小标宋简体" w:eastAsia="方正小标宋简体"/>
          <w:color w:val="000000"/>
          <w:sz w:val="44"/>
          <w:szCs w:val="44"/>
        </w:rPr>
        <w:t>普通高等学校专升本</w:t>
      </w:r>
      <w:r>
        <w:rPr>
          <w:rFonts w:ascii="方正小标宋简体" w:eastAsia="方正小标宋简体"/>
          <w:color w:val="000000"/>
          <w:sz w:val="44"/>
          <w:szCs w:val="44"/>
        </w:rPr>
        <w:t>(含三二分段专升本转段)招生统一考试</w:t>
      </w:r>
    </w:p>
    <w:p>
      <w:pPr>
        <w:pageBreakBefore w:val="0"/>
        <w:kinsoku/>
        <w:wordWrap/>
        <w:overflowPunct/>
        <w:topLinePunct w:val="0"/>
        <w:autoSpaceDE/>
        <w:autoSpaceDN/>
        <w:bidi w:val="0"/>
        <w:snapToGrid w:val="0"/>
        <w:spacing w:line="460" w:lineRule="exact"/>
        <w:ind w:firstLine="880" w:firstLineChars="200"/>
        <w:jc w:val="center"/>
        <w:textAlignment w:val="auto"/>
        <w:rPr>
          <w:rFonts w:ascii="方正小标宋简体" w:eastAsia="方正小标宋简体"/>
          <w:color w:val="000000"/>
          <w:sz w:val="44"/>
          <w:szCs w:val="44"/>
        </w:rPr>
      </w:pPr>
      <w:r>
        <w:rPr>
          <w:rFonts w:ascii="方正小标宋简体" w:eastAsia="方正小标宋简体"/>
          <w:color w:val="000000"/>
          <w:sz w:val="44"/>
          <w:szCs w:val="44"/>
        </w:rPr>
        <w:t>考生诚信考试承诺书 </w:t>
      </w:r>
    </w:p>
    <w:p>
      <w:pPr>
        <w:pageBreakBefore w:val="0"/>
        <w:kinsoku/>
        <w:wordWrap/>
        <w:overflowPunct/>
        <w:topLinePunct w:val="0"/>
        <w:autoSpaceDE/>
        <w:autoSpaceDN/>
        <w:bidi w:val="0"/>
        <w:snapToGrid w:val="0"/>
        <w:spacing w:line="460" w:lineRule="exact"/>
        <w:ind w:firstLine="880" w:firstLineChars="200"/>
        <w:jc w:val="center"/>
        <w:textAlignment w:val="auto"/>
        <w:rPr>
          <w:rFonts w:ascii="方正小标宋简体" w:eastAsia="方正小标宋简体"/>
          <w:color w:val="000000"/>
          <w:sz w:val="44"/>
          <w:szCs w:val="44"/>
        </w:rPr>
      </w:pP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本人自愿参加广东省2021年普通高等学校专升本（以下简称普通专升本）招生统一考试，现郑重承诺：</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一、本人已阅读了广东省2021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二、本人坚决遵守广东省2021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三、本人坚决服从考场工作人员和监考教师的管理,自觉遵守考试纪律，考试诚实守信，不违规，不作弊。</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四、本人报名时所提供的个人信息是真实、准确的，如因个人信息错误、失真造成不良后果，责任由本人承担。</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p>
    <w:p>
      <w:pPr>
        <w:pageBreakBefore w:val="0"/>
        <w:kinsoku/>
        <w:wordWrap/>
        <w:overflowPunct/>
        <w:topLinePunct w:val="0"/>
        <w:autoSpaceDE/>
        <w:autoSpaceDN/>
        <w:bidi w:val="0"/>
        <w:snapToGrid w:val="0"/>
        <w:spacing w:line="460" w:lineRule="exact"/>
        <w:ind w:firstLine="640" w:firstLineChars="200"/>
        <w:jc w:val="center"/>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2021年</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月</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jc w:val="center"/>
        <w:textAlignment w:val="auto"/>
      </w:pPr>
      <w:r>
        <w:rPr>
          <w:rFonts w:hint="eastAsia" w:ascii="仿宋_GB2312" w:hAnsi="仿宋" w:eastAsia="仿宋_GB2312"/>
          <w:color w:val="000000"/>
          <w:sz w:val="32"/>
          <w:szCs w:val="32"/>
        </w:rPr>
        <w:t xml:space="preserve">                              广东省教育考试院</w:t>
      </w:r>
      <w:r>
        <w:rPr>
          <w:rFonts w:hint="eastAsia" w:ascii="仿宋_GB2312" w:hAnsi="仿宋" w:eastAsia="仿宋_GB2312"/>
          <w:sz w:val="32"/>
          <w:szCs w:val="32"/>
        </w:rPr>
        <w:t xml:space="preserve">                                 </w:t>
      </w:r>
    </w:p>
    <w:p>
      <w:pPr>
        <w:pageBreakBefore w:val="0"/>
        <w:widowControl/>
        <w:kinsoku/>
        <w:wordWrap/>
        <w:overflowPunct/>
        <w:topLinePunct w:val="0"/>
        <w:autoSpaceDE/>
        <w:autoSpaceDN/>
        <w:bidi w:val="0"/>
        <w:snapToGrid w:val="0"/>
        <w:spacing w:line="560" w:lineRule="exact"/>
        <w:ind w:firstLine="640" w:firstLineChars="200"/>
        <w:jc w:val="left"/>
        <w:textAlignment w:val="auto"/>
        <w:outlineLvl w:val="0"/>
        <w:rPr>
          <w:rFonts w:ascii="黑体" w:hAnsi="黑体" w:eastAsia="黑体"/>
          <w:color w:val="000000"/>
          <w:sz w:val="32"/>
          <w:szCs w:val="32"/>
        </w:rPr>
      </w:pPr>
    </w:p>
    <w:p>
      <w:pPr>
        <w:pageBreakBefore w:val="0"/>
        <w:widowControl/>
        <w:kinsoku/>
        <w:wordWrap/>
        <w:overflowPunct/>
        <w:topLinePunct w:val="0"/>
        <w:autoSpaceDE/>
        <w:autoSpaceDN/>
        <w:bidi w:val="0"/>
        <w:snapToGrid w:val="0"/>
        <w:spacing w:line="560" w:lineRule="exact"/>
        <w:jc w:val="left"/>
        <w:textAlignment w:val="auto"/>
        <w:outlineLvl w:val="0"/>
        <w:rPr>
          <w:rFonts w:ascii="黑体" w:hAnsi="黑体" w:eastAsia="黑体"/>
          <w:color w:val="000000"/>
          <w:sz w:val="32"/>
          <w:szCs w:val="32"/>
        </w:rPr>
      </w:pPr>
      <w:r>
        <w:rPr>
          <w:rFonts w:ascii="黑体" w:hAnsi="黑体" w:eastAsia="黑体"/>
          <w:color w:val="000000"/>
          <w:sz w:val="32"/>
          <w:szCs w:val="32"/>
        </w:rPr>
        <w:t>附件3</w:t>
      </w:r>
    </w:p>
    <w:p>
      <w:pPr>
        <w:pageBreakBefore w:val="0"/>
        <w:kinsoku/>
        <w:wordWrap/>
        <w:overflowPunct/>
        <w:topLinePunct w:val="0"/>
        <w:autoSpaceDE/>
        <w:autoSpaceDN/>
        <w:bidi w:val="0"/>
        <w:snapToGrid w:val="0"/>
        <w:spacing w:line="560" w:lineRule="exact"/>
        <w:ind w:firstLine="880" w:firstLineChars="200"/>
        <w:jc w:val="center"/>
        <w:textAlignment w:val="auto"/>
        <w:rPr>
          <w:rFonts w:hint="eastAsia" w:ascii="方正小标宋简体" w:eastAsia="方正小标宋简体"/>
          <w:color w:val="000000"/>
          <w:sz w:val="44"/>
          <w:szCs w:val="44"/>
        </w:rPr>
      </w:pPr>
    </w:p>
    <w:p>
      <w:pPr>
        <w:pageBreakBefore w:val="0"/>
        <w:kinsoku/>
        <w:wordWrap/>
        <w:overflowPunct/>
        <w:topLinePunct w:val="0"/>
        <w:autoSpaceDE/>
        <w:autoSpaceDN/>
        <w:bidi w:val="0"/>
        <w:snapToGrid w:val="0"/>
        <w:spacing w:line="560" w:lineRule="exact"/>
        <w:ind w:firstLine="880" w:firstLineChars="200"/>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广东省2021年普通高等学校专升本</w:t>
      </w:r>
    </w:p>
    <w:p>
      <w:pPr>
        <w:pageBreakBefore w:val="0"/>
        <w:kinsoku/>
        <w:wordWrap/>
        <w:overflowPunct/>
        <w:topLinePunct w:val="0"/>
        <w:autoSpaceDE/>
        <w:autoSpaceDN/>
        <w:bidi w:val="0"/>
        <w:snapToGrid w:val="0"/>
        <w:spacing w:line="560" w:lineRule="exact"/>
        <w:ind w:firstLine="880" w:firstLineChars="200"/>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补报资料承诺书</w:t>
      </w:r>
    </w:p>
    <w:p>
      <w:pPr>
        <w:pageBreakBefore w:val="0"/>
        <w:kinsoku/>
        <w:wordWrap/>
        <w:overflowPunct/>
        <w:topLinePunct w:val="0"/>
        <w:autoSpaceDE/>
        <w:autoSpaceDN/>
        <w:bidi w:val="0"/>
        <w:snapToGrid w:val="0"/>
        <w:spacing w:line="560" w:lineRule="exact"/>
        <w:ind w:firstLine="640" w:firstLineChars="200"/>
        <w:textAlignment w:val="auto"/>
        <w:rPr>
          <w:rFonts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 xml:space="preserve">  本人在预报名时，专科学历验证未通过或未能上传相关职业资格技能证书，现郑重承诺：</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一、本</w:t>
      </w:r>
      <w:r>
        <w:rPr>
          <w:rFonts w:hint="eastAsia" w:ascii="仿宋_GB2312" w:hAnsi="仿宋" w:eastAsia="仿宋_GB2312"/>
          <w:color w:val="000000"/>
          <w:sz w:val="32"/>
          <w:szCs w:val="32"/>
        </w:rPr>
        <w:t>人</w:t>
      </w:r>
      <w:r>
        <w:rPr>
          <w:rFonts w:hint="eastAsia" w:ascii="仿宋_GB2312" w:hAnsi="仿宋" w:eastAsia="仿宋_GB2312" w:cs="仿宋"/>
          <w:color w:val="000000"/>
          <w:sz w:val="32"/>
          <w:szCs w:val="32"/>
        </w:rPr>
        <w:t>已阅读了《广东省2021年普通高等学校专升本招生工作规定》的有关政策和规定，承诺按规定在截止日期前，在“广东省2021年普通高校专升本报名系统”上传中国高等教育学历认证报告（或教育部学历证书电子注册备案表）或中级职业资格技能证书，由审核部门审核报考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二、若本人中国高等教育学历认证报告（或教育部学历证书电子注册备案表）或中级职业资格技能证书审核不通过,或未在截止日期前上传中国高等教育学历认证报告（或教育部学历证书电子注册备案表）或中级职业资格技能证书，同意取消本人这次的报考资格。</w:t>
      </w:r>
    </w:p>
    <w:p>
      <w:pPr>
        <w:keepNext w:val="0"/>
        <w:keepLines w:val="0"/>
        <w:pageBreakBefore w:val="0"/>
        <w:widowControl w:val="0"/>
        <w:tabs>
          <w:tab w:val="left" w:pos="5220"/>
        </w:tabs>
        <w:kinsoku/>
        <w:wordWrap/>
        <w:overflowPunct/>
        <w:topLinePunct w:val="0"/>
        <w:autoSpaceDE/>
        <w:autoSpaceDN/>
        <w:bidi w:val="0"/>
        <w:adjustRightInd/>
        <w:spacing w:line="520" w:lineRule="exact"/>
        <w:ind w:firstLine="0" w:firstLineChars="0"/>
        <w:textAlignment w:val="auto"/>
        <w:rPr>
          <w:rFonts w:hint="eastAsia" w:ascii="黑体" w:eastAsia="黑体"/>
          <w:color w:val="000000"/>
          <w:sz w:val="32"/>
          <w:szCs w:val="32"/>
        </w:rPr>
      </w:pPr>
    </w:p>
    <w:p>
      <w:pPr>
        <w:keepNext w:val="0"/>
        <w:keepLines w:val="0"/>
        <w:pageBreakBefore w:val="0"/>
        <w:widowControl w:val="0"/>
        <w:tabs>
          <w:tab w:val="left" w:pos="5220"/>
        </w:tabs>
        <w:kinsoku/>
        <w:wordWrap/>
        <w:overflowPunct/>
        <w:topLinePunct w:val="0"/>
        <w:autoSpaceDE/>
        <w:autoSpaceDN/>
        <w:bidi w:val="0"/>
        <w:adjustRightInd/>
        <w:spacing w:line="520" w:lineRule="exact"/>
        <w:ind w:firstLine="0" w:firstLineChars="0"/>
        <w:textAlignment w:val="auto"/>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60" w:lineRule="exact"/>
        <w:ind w:firstLine="0" w:firstLineChars="0"/>
        <w:jc w:val="center"/>
        <w:textAlignment w:val="auto"/>
        <w:rPr>
          <w:rFonts w:hint="eastAsia" w:ascii="仿宋_GB2312" w:hAnsi="仿宋" w:eastAsia="仿宋_GB2312"/>
          <w:color w:val="000000"/>
          <w:sz w:val="32"/>
          <w:szCs w:val="32"/>
        </w:rPr>
      </w:pPr>
      <w:r>
        <w:rPr>
          <w:rFonts w:hint="eastAsia" w:ascii="黑体" w:eastAsia="黑体"/>
          <w:color w:val="000000"/>
          <w:sz w:val="32"/>
          <w:szCs w:val="32"/>
        </w:rPr>
        <w:t xml:space="preserve">                                  </w:t>
      </w:r>
      <w:r>
        <w:rPr>
          <w:rFonts w:hint="eastAsia" w:ascii="仿宋_GB2312" w:hAnsi="仿宋" w:eastAsia="仿宋_GB2312"/>
          <w:color w:val="000000"/>
          <w:sz w:val="32"/>
          <w:szCs w:val="32"/>
        </w:rPr>
        <w:t>2021年</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月</w:t>
      </w:r>
      <w:r>
        <w:rPr>
          <w:rFonts w:hint="eastAsia" w:ascii="仿宋_GB2312" w:eastAsia="仿宋_GB2312" w:cs="Calibri"/>
          <w:color w:val="000000"/>
          <w:sz w:val="32"/>
          <w:szCs w:val="32"/>
        </w:rPr>
        <w:t>  </w:t>
      </w:r>
    </w:p>
    <w:p>
      <w:pPr>
        <w:keepNext w:val="0"/>
        <w:keepLines w:val="0"/>
        <w:pageBreakBefore w:val="0"/>
        <w:widowControl w:val="0"/>
        <w:kinsoku/>
        <w:wordWrap/>
        <w:overflowPunct/>
        <w:topLinePunct w:val="0"/>
        <w:autoSpaceDE/>
        <w:autoSpaceDN/>
        <w:bidi w:val="0"/>
        <w:adjustRightInd/>
        <w:snapToGrid w:val="0"/>
        <w:spacing w:line="460" w:lineRule="exact"/>
        <w:ind w:firstLine="0" w:firstLineChars="0"/>
        <w:jc w:val="center"/>
        <w:textAlignment w:val="auto"/>
        <w:rPr>
          <w:color w:val="000000"/>
        </w:rPr>
      </w:pPr>
      <w:r>
        <w:rPr>
          <w:rFonts w:hint="eastAsia" w:ascii="仿宋_GB2312" w:hAnsi="仿宋" w:eastAsia="仿宋_GB2312"/>
          <w:color w:val="000000"/>
          <w:sz w:val="32"/>
          <w:szCs w:val="32"/>
        </w:rPr>
        <w:t xml:space="preserve">                                 广东省教育考试院</w:t>
      </w:r>
    </w:p>
    <w:p>
      <w:pPr>
        <w:pageBreakBefore w:val="0"/>
        <w:tabs>
          <w:tab w:val="left" w:pos="5220"/>
        </w:tabs>
        <w:kinsoku/>
        <w:wordWrap/>
        <w:overflowPunct/>
        <w:topLinePunct w:val="0"/>
        <w:autoSpaceDE/>
        <w:autoSpaceDN/>
        <w:bidi w:val="0"/>
        <w:snapToGrid w:val="0"/>
        <w:spacing w:line="560" w:lineRule="exact"/>
        <w:ind w:firstLine="640" w:firstLineChars="200"/>
        <w:textAlignment w:val="auto"/>
        <w:rPr>
          <w:rFonts w:ascii="黑体" w:eastAsia="黑体"/>
          <w:color w:val="000000"/>
          <w:sz w:val="32"/>
          <w:szCs w:val="32"/>
        </w:rPr>
      </w:pPr>
    </w:p>
    <w:p>
      <w:pPr>
        <w:pageBreakBefore w:val="0"/>
        <w:tabs>
          <w:tab w:val="left" w:pos="5220"/>
        </w:tabs>
        <w:kinsoku/>
        <w:wordWrap/>
        <w:overflowPunct/>
        <w:topLinePunct w:val="0"/>
        <w:autoSpaceDE/>
        <w:autoSpaceDN/>
        <w:bidi w:val="0"/>
        <w:snapToGrid w:val="0"/>
        <w:spacing w:line="560" w:lineRule="exact"/>
        <w:ind w:firstLine="640" w:firstLineChars="200"/>
        <w:textAlignment w:val="auto"/>
        <w:rPr>
          <w:rFonts w:ascii="黑体" w:eastAsia="黑体"/>
          <w:color w:val="000000"/>
          <w:sz w:val="32"/>
          <w:szCs w:val="32"/>
        </w:rPr>
      </w:pPr>
    </w:p>
    <w:p>
      <w:pPr>
        <w:pageBreakBefore w:val="0"/>
        <w:tabs>
          <w:tab w:val="left" w:pos="5220"/>
        </w:tabs>
        <w:kinsoku/>
        <w:wordWrap/>
        <w:overflowPunct/>
        <w:topLinePunct w:val="0"/>
        <w:autoSpaceDE/>
        <w:autoSpaceDN/>
        <w:bidi w:val="0"/>
        <w:spacing w:line="520" w:lineRule="exact"/>
        <w:textAlignment w:val="auto"/>
        <w:rPr>
          <w:rFonts w:hint="eastAsia" w:ascii="黑体" w:eastAsia="黑体"/>
          <w:color w:val="000000"/>
          <w:sz w:val="32"/>
          <w:szCs w:val="32"/>
        </w:rPr>
      </w:pPr>
    </w:p>
    <w:p>
      <w:pPr>
        <w:pageBreakBefore w:val="0"/>
        <w:tabs>
          <w:tab w:val="left" w:pos="5220"/>
        </w:tabs>
        <w:kinsoku/>
        <w:wordWrap/>
        <w:overflowPunct/>
        <w:topLinePunct w:val="0"/>
        <w:autoSpaceDE/>
        <w:autoSpaceDN/>
        <w:bidi w:val="0"/>
        <w:spacing w:line="520" w:lineRule="exact"/>
        <w:textAlignment w:val="auto"/>
        <w:rPr>
          <w:rFonts w:hint="eastAsia" w:ascii="黑体" w:eastAsia="黑体"/>
          <w:color w:val="000000"/>
          <w:sz w:val="32"/>
          <w:szCs w:val="32"/>
        </w:rPr>
      </w:pPr>
    </w:p>
    <w:p>
      <w:pPr>
        <w:pageBreakBefore w:val="0"/>
        <w:tabs>
          <w:tab w:val="left" w:pos="5220"/>
        </w:tabs>
        <w:kinsoku/>
        <w:wordWrap/>
        <w:overflowPunct/>
        <w:topLinePunct w:val="0"/>
        <w:autoSpaceDE/>
        <w:autoSpaceDN/>
        <w:bidi w:val="0"/>
        <w:spacing w:line="520" w:lineRule="exact"/>
        <w:textAlignment w:val="auto"/>
        <w:rPr>
          <w:rFonts w:hint="eastAsia" w:ascii="黑体" w:eastAsia="黑体"/>
          <w:color w:val="000000"/>
          <w:sz w:val="32"/>
          <w:szCs w:val="32"/>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4</w:t>
      </w:r>
    </w:p>
    <w:p>
      <w:pPr>
        <w:pageBreakBefore w:val="0"/>
        <w:kinsoku/>
        <w:wordWrap/>
        <w:overflowPunct/>
        <w:topLinePunct w:val="0"/>
        <w:autoSpaceDE/>
        <w:autoSpaceDN/>
        <w:bidi w:val="0"/>
        <w:spacing w:line="520" w:lineRule="exact"/>
        <w:ind w:firstLine="880" w:firstLineChars="200"/>
        <w:jc w:val="center"/>
        <w:textAlignment w:val="auto"/>
        <w:rPr>
          <w:rFonts w:hint="eastAsia" w:ascii="方正小标宋简体" w:eastAsia="方正小标宋简体"/>
          <w:color w:val="000000"/>
          <w:sz w:val="44"/>
          <w:szCs w:val="44"/>
        </w:rPr>
      </w:pPr>
    </w:p>
    <w:p>
      <w:pPr>
        <w:pageBreakBefore w:val="0"/>
        <w:kinsoku/>
        <w:wordWrap/>
        <w:overflowPunct/>
        <w:topLinePunct w:val="0"/>
        <w:autoSpaceDE/>
        <w:autoSpaceDN/>
        <w:bidi w:val="0"/>
        <w:spacing w:line="520" w:lineRule="exact"/>
        <w:ind w:firstLine="880" w:firstLineChars="200"/>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广东省2021年普通高校专升本考生</w:t>
      </w:r>
    </w:p>
    <w:p>
      <w:pPr>
        <w:pageBreakBefore w:val="0"/>
        <w:kinsoku/>
        <w:wordWrap/>
        <w:overflowPunct/>
        <w:topLinePunct w:val="0"/>
        <w:autoSpaceDE/>
        <w:autoSpaceDN/>
        <w:bidi w:val="0"/>
        <w:spacing w:line="520" w:lineRule="exact"/>
        <w:ind w:firstLine="880" w:firstLineChars="200"/>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w:t>
      </w:r>
    </w:p>
    <w:p>
      <w:pPr>
        <w:pageBreakBefore w:val="0"/>
        <w:kinsoku/>
        <w:wordWrap/>
        <w:overflowPunct/>
        <w:topLinePunct w:val="0"/>
        <w:autoSpaceDE/>
        <w:autoSpaceDN/>
        <w:bidi w:val="0"/>
        <w:spacing w:line="520" w:lineRule="exact"/>
        <w:ind w:firstLine="600" w:firstLineChars="200"/>
        <w:textAlignment w:val="auto"/>
        <w:rPr>
          <w:color w:val="000000"/>
          <w:sz w:val="30"/>
          <w:szCs w:val="30"/>
        </w:rPr>
      </w:pPr>
    </w:p>
    <w:p>
      <w:pPr>
        <w:pageBreakBefore w:val="0"/>
        <w:kinsoku/>
        <w:wordWrap/>
        <w:overflowPunct/>
        <w:topLinePunct w:val="0"/>
        <w:autoSpaceDE/>
        <w:autoSpaceDN/>
        <w:bidi w:val="0"/>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一、考生在预报名时自行在广东省普通专升本招生报名系统中验证专科学历。广东省普通专升本网上报名系统（网址：http://</w:t>
      </w:r>
      <w:r>
        <w:rPr>
          <w:rFonts w:hint="eastAsia" w:ascii="仿宋_GB2312" w:hAnsi="仿宋" w:eastAsia="仿宋_GB2312" w:cs="Times New Roman"/>
          <w:color w:val="000000"/>
          <w:sz w:val="32"/>
          <w:szCs w:val="32"/>
        </w:rPr>
        <w:fldChar w:fldCharType="begin"/>
      </w:r>
      <w:r>
        <w:rPr>
          <w:rFonts w:hint="eastAsia" w:ascii="仿宋_GB2312" w:hAnsi="仿宋" w:eastAsia="仿宋_GB2312" w:cs="Times New Roman"/>
          <w:color w:val="000000"/>
          <w:sz w:val="32"/>
          <w:szCs w:val="32"/>
        </w:rPr>
        <w:instrText xml:space="preserve">HYPERLINK "http://www.ecogd.edu.cn/"</w:instrText>
      </w:r>
      <w:r>
        <w:rPr>
          <w:rFonts w:hint="eastAsia" w:ascii="仿宋_GB2312" w:hAnsi="仿宋" w:eastAsia="仿宋_GB2312" w:cs="Times New Roman"/>
          <w:color w:val="000000"/>
          <w:sz w:val="32"/>
          <w:szCs w:val="32"/>
        </w:rPr>
        <w:fldChar w:fldCharType="separate"/>
      </w:r>
      <w:r>
        <w:rPr>
          <w:rFonts w:hint="eastAsia" w:ascii="仿宋_GB2312" w:hAnsi="仿宋" w:eastAsia="仿宋_GB2312" w:cs="Times New Roman"/>
          <w:color w:val="000000"/>
          <w:sz w:val="32"/>
          <w:szCs w:val="32"/>
        </w:rPr>
        <w:t>www.eeagd.edu.cn/</w:t>
      </w:r>
      <w:r>
        <w:rPr>
          <w:rFonts w:hint="eastAsia" w:ascii="仿宋_GB2312" w:hAnsi="仿宋" w:eastAsia="仿宋_GB2312" w:cs="Times New Roman"/>
          <w:color w:val="000000"/>
          <w:sz w:val="32"/>
          <w:szCs w:val="32"/>
        </w:rPr>
        <w:fldChar w:fldCharType="end"/>
      </w:r>
      <w:r>
        <w:rPr>
          <w:rFonts w:hint="eastAsia" w:ascii="仿宋_GB2312" w:hAnsi="仿宋" w:eastAsia="仿宋_GB2312" w:cs="Times New Roman"/>
          <w:color w:val="000000"/>
          <w:sz w:val="32"/>
          <w:szCs w:val="32"/>
        </w:rPr>
        <w:t xml:space="preserve"> ptzsbks）具有“专科学历验证”功能。已取得专科毕业证的考生在预报名过程中可自行进行专科学历验证，由报名系统自动反馈验证结果。该项专科学历验证功能仅限于已取得专科毕业证的考生进行在线学历验证。</w:t>
      </w:r>
    </w:p>
    <w:p>
      <w:pPr>
        <w:pageBreakBefore w:val="0"/>
        <w:kinsoku/>
        <w:wordWrap/>
        <w:overflowPunct/>
        <w:topLinePunct w:val="0"/>
        <w:autoSpaceDE/>
        <w:autoSpaceDN/>
        <w:bidi w:val="0"/>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pageBreakBefore w:val="0"/>
        <w:kinsoku/>
        <w:wordWrap/>
        <w:overflowPunct/>
        <w:topLinePunct w:val="0"/>
        <w:autoSpaceDE/>
        <w:autoSpaceDN/>
        <w:bidi w:val="0"/>
        <w:ind w:firstLine="420" w:firstLineChars="200"/>
        <w:textAlignment w:val="auto"/>
      </w:pPr>
    </w:p>
    <w:p>
      <w:pPr>
        <w:pageBreakBefore w:val="0"/>
        <w:kinsoku/>
        <w:wordWrap/>
        <w:overflowPunct/>
        <w:topLinePunct w:val="0"/>
        <w:autoSpaceDE/>
        <w:autoSpaceDN/>
        <w:bidi w:val="0"/>
        <w:ind w:firstLine="640" w:firstLineChars="200"/>
        <w:textAlignment w:val="auto"/>
        <w:rPr>
          <w:rFonts w:hint="eastAsia" w:ascii="黑体" w:hAnsi="黑体" w:eastAsia="黑体" w:cs="黑体"/>
          <w:color w:val="000000"/>
          <w:sz w:val="32"/>
          <w:szCs w:val="32"/>
        </w:rPr>
      </w:pPr>
    </w:p>
    <w:p>
      <w:pPr>
        <w:pStyle w:val="2"/>
        <w:pageBreakBefore w:val="0"/>
        <w:kinsoku/>
        <w:wordWrap/>
        <w:overflowPunct/>
        <w:topLinePunct w:val="0"/>
        <w:autoSpaceDE/>
        <w:autoSpaceDN/>
        <w:bidi w:val="0"/>
        <w:ind w:firstLine="643"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ind w:firstLine="640"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ind w:firstLine="640"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ind w:firstLine="640"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pageBreakBefore w:val="0"/>
        <w:tabs>
          <w:tab w:val="left" w:pos="1800"/>
        </w:tabs>
        <w:kinsoku/>
        <w:wordWrap/>
        <w:overflowPunct/>
        <w:topLinePunct w:val="0"/>
        <w:autoSpaceDE/>
        <w:autoSpaceDN/>
        <w:bidi w:val="0"/>
        <w:spacing w:line="560" w:lineRule="exact"/>
        <w:ind w:firstLine="720" w:firstLineChars="200"/>
        <w:jc w:val="center"/>
        <w:textAlignment w:val="auto"/>
        <w:rPr>
          <w:rFonts w:hint="eastAsia" w:ascii="仿宋_GB2312" w:eastAsia="仿宋_GB2312"/>
          <w:color w:val="000000"/>
          <w:sz w:val="36"/>
          <w:szCs w:val="36"/>
        </w:rPr>
      </w:pPr>
      <w:r>
        <w:rPr>
          <w:rFonts w:hint="eastAsia" w:ascii="方正小标宋简体" w:eastAsia="方正小标宋简体"/>
          <w:color w:val="000000"/>
          <w:sz w:val="36"/>
          <w:szCs w:val="36"/>
        </w:rPr>
        <w:t>广东省2021年普通高校专升本招生体格检查表</w:t>
      </w:r>
    </w:p>
    <w:p>
      <w:pPr>
        <w:pageBreakBefore w:val="0"/>
        <w:kinsoku/>
        <w:wordWrap/>
        <w:overflowPunct/>
        <w:topLinePunct w:val="0"/>
        <w:autoSpaceDE/>
        <w:autoSpaceDN/>
        <w:bidi w:val="0"/>
        <w:spacing w:line="240" w:lineRule="exact"/>
        <w:ind w:firstLine="482" w:firstLineChars="200"/>
        <w:jc w:val="center"/>
        <w:textAlignment w:val="auto"/>
        <w:rPr>
          <w:rFonts w:hint="eastAsia" w:ascii="仿宋_GB2312" w:eastAsia="仿宋_GB2312"/>
          <w:color w:val="000000"/>
          <w:sz w:val="24"/>
        </w:rPr>
      </w:pPr>
      <w:r>
        <w:rPr>
          <w:rFonts w:hint="eastAsia" w:ascii="仿宋_GB2312" w:eastAsia="仿宋_GB2312"/>
          <w:b/>
          <w:color w:val="000000"/>
          <w:sz w:val="24"/>
        </w:rPr>
        <w:t xml:space="preserve">   </w:t>
      </w:r>
      <w:r>
        <w:rPr>
          <w:rFonts w:hint="eastAsia" w:ascii="仿宋_GB2312" w:eastAsia="仿宋_GB2312"/>
          <w:color w:val="000000"/>
          <w:sz w:val="24"/>
        </w:rPr>
        <w:t xml:space="preserve">                                      </w:t>
      </w:r>
    </w:p>
    <w:p>
      <w:pPr>
        <w:pageBreakBefore w:val="0"/>
        <w:kinsoku/>
        <w:wordWrap/>
        <w:overflowPunct/>
        <w:topLinePunct w:val="0"/>
        <w:autoSpaceDE/>
        <w:autoSpaceDN/>
        <w:bidi w:val="0"/>
        <w:ind w:firstLine="480" w:firstLineChars="200"/>
        <w:jc w:val="center"/>
        <w:textAlignment w:val="auto"/>
        <w:rPr>
          <w:rFonts w:hint="eastAsia" w:ascii="仿宋_GB2312" w:eastAsia="仿宋_GB2312"/>
          <w:color w:val="000000"/>
          <w:sz w:val="24"/>
          <w:u w:val="single"/>
        </w:rPr>
      </w:pPr>
      <w:r>
        <w:rPr>
          <w:rFonts w:hint="eastAsia" w:ascii="仿宋_GB2312" w:eastAsia="仿宋_GB2312"/>
          <w:color w:val="000000"/>
          <w:sz w:val="24"/>
        </w:rPr>
        <w:t xml:space="preserve">                                        准考证号：</w:t>
      </w:r>
      <w:r>
        <w:rPr>
          <w:rFonts w:hint="eastAsia" w:ascii="仿宋_GB2312" w:eastAsia="仿宋_GB2312"/>
          <w:color w:val="000000"/>
          <w:sz w:val="24"/>
          <w:u w:val="single"/>
        </w:rPr>
        <w:t xml:space="preserve">                </w:t>
      </w:r>
    </w:p>
    <w:p>
      <w:pPr>
        <w:pageBreakBefore w:val="0"/>
        <w:kinsoku/>
        <w:wordWrap/>
        <w:overflowPunct/>
        <w:topLinePunct w:val="0"/>
        <w:autoSpaceDE/>
        <w:autoSpaceDN/>
        <w:bidi w:val="0"/>
        <w:ind w:firstLine="480" w:firstLineChars="200"/>
        <w:jc w:val="center"/>
        <w:textAlignment w:val="auto"/>
        <w:rPr>
          <w:rFonts w:hint="eastAsia" w:ascii="仿宋_GB2312" w:eastAsia="仿宋_GB2312"/>
          <w:color w:val="000000"/>
          <w:sz w:val="24"/>
          <w:u w:val="single"/>
        </w:rPr>
      </w:pPr>
    </w:p>
    <w:p>
      <w:pPr>
        <w:pageBreakBefore w:val="0"/>
        <w:kinsoku/>
        <w:wordWrap/>
        <w:overflowPunct/>
        <w:topLinePunct w:val="0"/>
        <w:autoSpaceDE/>
        <w:autoSpaceDN/>
        <w:bidi w:val="0"/>
        <w:textAlignment w:val="auto"/>
        <w:rPr>
          <w:rFonts w:hint="eastAsia" w:ascii="仿宋_GB2312" w:eastAsia="仿宋_GB2312"/>
          <w:color w:val="000000"/>
          <w:sz w:val="24"/>
          <w:u w:val="single"/>
        </w:rPr>
      </w:pPr>
      <w:r>
        <w:rPr>
          <w:rFonts w:hint="eastAsia" w:ascii="仿宋_GB2312" w:eastAsia="仿宋_GB2312"/>
          <w:color w:val="000000"/>
          <w:sz w:val="24"/>
        </w:rPr>
        <w:t>市</w:t>
      </w:r>
      <w:r>
        <w:rPr>
          <w:rFonts w:hint="eastAsia" w:ascii="仿宋_GB2312" w:eastAsia="仿宋_GB2312"/>
          <w:color w:val="000000"/>
          <w:sz w:val="24"/>
          <w:u w:val="single"/>
        </w:rPr>
        <w:t xml:space="preserve">              </w:t>
      </w:r>
      <w:r>
        <w:rPr>
          <w:rFonts w:hint="eastAsia" w:ascii="仿宋_GB2312" w:eastAsia="仿宋_GB2312"/>
          <w:color w:val="000000"/>
          <w:sz w:val="24"/>
        </w:rPr>
        <w:t>县（市、区）</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考生签名：</w:t>
      </w:r>
      <w:r>
        <w:rPr>
          <w:rFonts w:hint="eastAsia" w:ascii="仿宋_GB2312" w:eastAsia="仿宋_GB2312"/>
          <w:color w:val="000000"/>
          <w:sz w:val="24"/>
          <w:u w:val="single"/>
        </w:rPr>
        <w:t xml:space="preserve">              </w:t>
      </w:r>
    </w:p>
    <w:p>
      <w:pPr>
        <w:pageBreakBefore w:val="0"/>
        <w:kinsoku/>
        <w:wordWrap/>
        <w:overflowPunct/>
        <w:topLinePunct w:val="0"/>
        <w:autoSpaceDE/>
        <w:autoSpaceDN/>
        <w:bidi w:val="0"/>
        <w:ind w:firstLine="420" w:firstLineChars="200"/>
        <w:textAlignment w:val="auto"/>
        <w:rPr>
          <w:rFonts w:hint="eastAsia" w:ascii="仿宋_GB2312" w:eastAsia="仿宋_GB2312"/>
          <w:color w:val="000000"/>
          <w:szCs w:val="21"/>
          <w:u w:val="singl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79"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1021"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80"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出生</w:t>
            </w:r>
          </w:p>
        </w:tc>
        <w:tc>
          <w:tcPr>
            <w:tcW w:w="2240"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年  月  日</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半身一寸</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脱帽相片</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体检医院</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体检章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文化程度</w:t>
            </w:r>
          </w:p>
        </w:tc>
        <w:tc>
          <w:tcPr>
            <w:tcW w:w="1080"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2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900"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59"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职业</w:t>
            </w:r>
          </w:p>
        </w:tc>
        <w:tc>
          <w:tcPr>
            <w:tcW w:w="1021"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婚否</w:t>
            </w:r>
          </w:p>
        </w:tc>
        <w:tc>
          <w:tcPr>
            <w:tcW w:w="8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籍贯</w:t>
            </w:r>
          </w:p>
        </w:tc>
        <w:tc>
          <w:tcPr>
            <w:tcW w:w="71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66"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现住所及           通讯处</w:t>
            </w:r>
          </w:p>
        </w:tc>
        <w:tc>
          <w:tcPr>
            <w:tcW w:w="4380" w:type="dxa"/>
            <w:gridSpan w:val="1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原毕业学校或工作单位</w:t>
            </w: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既往病史</w:t>
            </w: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20" w:type="dxa"/>
            <w:gridSpan w:val="21"/>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眼科</w:t>
            </w:r>
          </w:p>
        </w:tc>
        <w:tc>
          <w:tcPr>
            <w:tcW w:w="108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裸眼视力</w:t>
            </w:r>
          </w:p>
        </w:tc>
        <w:tc>
          <w:tcPr>
            <w:tcW w:w="1100"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w:t>
            </w:r>
          </w:p>
        </w:tc>
        <w:tc>
          <w:tcPr>
            <w:tcW w:w="1119" w:type="dxa"/>
            <w:gridSpan w:val="5"/>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矫正视力</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      矫正度数：</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医师意见</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（签字）</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1.眼   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2.耳鼻喉科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08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100"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w:t>
            </w:r>
          </w:p>
        </w:tc>
        <w:tc>
          <w:tcPr>
            <w:tcW w:w="1119" w:type="dxa"/>
            <w:gridSpan w:val="5"/>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      矫正度数：</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71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其他眼病</w:t>
            </w:r>
          </w:p>
        </w:tc>
        <w:tc>
          <w:tcPr>
            <w:tcW w:w="1466" w:type="dxa"/>
            <w:gridSpan w:val="6"/>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19" w:type="dxa"/>
            <w:gridSpan w:val="5"/>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色觉检查</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彩色图案及编码：               正常□ 色弱□ 色盲□ 全色盲□</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71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6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119" w:type="dxa"/>
            <w:gridSpan w:val="5"/>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单颜色识别：                </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红□ 绿□ 紫□ 蓝□ 黄□</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耳鼻喉科</w:t>
            </w:r>
          </w:p>
        </w:tc>
        <w:tc>
          <w:tcPr>
            <w:tcW w:w="71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听力</w:t>
            </w:r>
          </w:p>
        </w:tc>
        <w:tc>
          <w:tcPr>
            <w:tcW w:w="1466"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     公尺</w:t>
            </w:r>
          </w:p>
        </w:tc>
        <w:tc>
          <w:tcPr>
            <w:tcW w:w="1119"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嗅觉</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迟钝□ 丧失□</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71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66"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     公尺</w:t>
            </w:r>
          </w:p>
        </w:tc>
        <w:tc>
          <w:tcPr>
            <w:tcW w:w="1119"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耳鼻咽喉</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679"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耳鼻喉科异常</w:t>
            </w:r>
          </w:p>
        </w:tc>
        <w:tc>
          <w:tcPr>
            <w:tcW w:w="4881" w:type="dxa"/>
            <w:gridSpan w:val="1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口腔科</w:t>
            </w: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唇腭：正常□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牙齿：正常□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160"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口吃：否□ 是□</w:t>
            </w:r>
          </w:p>
        </w:tc>
        <w:tc>
          <w:tcPr>
            <w:tcW w:w="1260"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口腔异常</w:t>
            </w:r>
          </w:p>
        </w:tc>
        <w:tc>
          <w:tcPr>
            <w:tcW w:w="3140"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外科</w:t>
            </w:r>
          </w:p>
        </w:tc>
        <w:tc>
          <w:tcPr>
            <w:tcW w:w="2180"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身高：     厘米</w:t>
            </w:r>
          </w:p>
        </w:tc>
        <w:tc>
          <w:tcPr>
            <w:tcW w:w="4380" w:type="dxa"/>
            <w:gridSpan w:val="1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体重：     公斤</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医师意见</w:t>
            </w:r>
            <w:r>
              <w:rPr>
                <w:rFonts w:hint="eastAsia" w:ascii="仿宋_GB2312" w:hAnsi="宋体" w:eastAsia="仿宋_GB2312" w:cs="宋体"/>
                <w:color w:val="000000"/>
                <w:kern w:val="0"/>
                <w:szCs w:val="21"/>
              </w:rPr>
              <w:br w:type="textWrapping"/>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皮肤: 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面部： 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颈部：正常□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脊柱： 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四肢：正常□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关节： 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外科异常</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内科</w:t>
            </w: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血压</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收缩压：       kpa</w:t>
            </w:r>
          </w:p>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舒张压：       kpa</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 师 意 见</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发育情况</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良好□  差□</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神经系统</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呼吸系统</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心脏及血管</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脾</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胸部透视</w:t>
            </w:r>
          </w:p>
        </w:tc>
        <w:tc>
          <w:tcPr>
            <w:tcW w:w="1859"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201"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胸透异常</w:t>
            </w:r>
          </w:p>
        </w:tc>
        <w:tc>
          <w:tcPr>
            <w:tcW w:w="206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内科异常</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肝功能</w:t>
            </w: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转氨酶：正常□  异常□</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 师 意 见</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肝功能异常：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体检结论</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体检医院意见</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复审意见</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备注</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pageBreakBefore w:val="0"/>
        <w:kinsoku/>
        <w:wordWrap/>
        <w:overflowPunct/>
        <w:topLinePunct w:val="0"/>
        <w:autoSpaceDE/>
        <w:autoSpaceDN/>
        <w:bidi w:val="0"/>
        <w:ind w:firstLine="420" w:firstLineChars="200"/>
        <w:textAlignment w:val="auto"/>
        <w:rPr>
          <w:rFonts w:hint="eastAsia" w:ascii="仿宋_GB2312" w:eastAsia="仿宋_GB2312"/>
          <w:color w:val="000000"/>
          <w:szCs w:val="21"/>
        </w:rPr>
      </w:pPr>
    </w:p>
    <w:p>
      <w:pPr>
        <w:pageBreakBefore w:val="0"/>
        <w:kinsoku/>
        <w:wordWrap/>
        <w:overflowPunct/>
        <w:topLinePunct w:val="0"/>
        <w:autoSpaceDE/>
        <w:autoSpaceDN/>
        <w:bidi w:val="0"/>
        <w:ind w:left="420" w:leftChars="200" w:firstLine="420" w:firstLineChars="200"/>
        <w:textAlignment w:val="auto"/>
        <w:rPr>
          <w:rFonts w:hint="eastAsia" w:ascii="仿宋_GB2312" w:eastAsia="仿宋_GB2312"/>
          <w:color w:val="000000"/>
          <w:szCs w:val="21"/>
        </w:rPr>
      </w:pPr>
      <w:r>
        <w:rPr>
          <w:rFonts w:hint="eastAsia" w:ascii="仿宋_GB2312" w:eastAsia="仿宋_GB2312"/>
          <w:color w:val="000000"/>
          <w:szCs w:val="21"/>
        </w:rPr>
        <w:t>注：1.“既往病史”一栏考生必须如实填写。如发现有隐瞒严重疾病，不符合体检标准的，即使已录取入学，也必须取消入学资格。</w:t>
      </w:r>
    </w:p>
    <w:p>
      <w:pPr>
        <w:pageBreakBefore w:val="0"/>
        <w:kinsoku/>
        <w:wordWrap/>
        <w:overflowPunct/>
        <w:topLinePunct w:val="0"/>
        <w:autoSpaceDE/>
        <w:autoSpaceDN/>
        <w:bidi w:val="0"/>
        <w:ind w:left="420" w:leftChars="200" w:firstLine="420" w:firstLineChars="200"/>
        <w:textAlignment w:val="auto"/>
        <w:rPr>
          <w:rFonts w:hint="eastAsia" w:ascii="仿宋_GB2312" w:eastAsia="仿宋_GB2312"/>
          <w:color w:val="000000"/>
          <w:szCs w:val="21"/>
        </w:rPr>
      </w:pPr>
      <w:r>
        <w:rPr>
          <w:rFonts w:hint="eastAsia" w:ascii="仿宋_GB2312" w:eastAsia="仿宋_GB2312"/>
          <w:color w:val="000000"/>
          <w:szCs w:val="21"/>
        </w:rPr>
        <w:t xml:space="preserve">    2.体检医师应在检查项目结果的正常或异常等后的空格打“√”。</w:t>
      </w:r>
    </w:p>
    <w:p>
      <w:pPr>
        <w:pageBreakBefore w:val="0"/>
        <w:kinsoku/>
        <w:wordWrap/>
        <w:overflowPunct/>
        <w:topLinePunct w:val="0"/>
        <w:autoSpaceDE/>
        <w:autoSpaceDN/>
        <w:bidi w:val="0"/>
        <w:ind w:left="840" w:leftChars="400" w:firstLine="420" w:firstLineChars="200"/>
        <w:textAlignment w:val="auto"/>
        <w:rPr>
          <w:rFonts w:hint="eastAsia" w:ascii="仿宋_GB2312" w:eastAsia="仿宋_GB2312"/>
          <w:color w:val="000000"/>
          <w:szCs w:val="21"/>
        </w:rPr>
      </w:pPr>
      <w:r>
        <w:rPr>
          <w:rFonts w:hint="eastAsia" w:ascii="仿宋_GB2312" w:eastAsia="仿宋_GB2312"/>
          <w:color w:val="000000"/>
          <w:szCs w:val="21"/>
        </w:rPr>
        <w:t>3.体检标准按《普通高等学校招生体检指导意见》及教育部、卫生部有关文件要求执行。</w:t>
      </w:r>
    </w:p>
    <w:p>
      <w:pPr>
        <w:pageBreakBefore w:val="0"/>
        <w:kinsoku/>
        <w:wordWrap/>
        <w:overflowPunct/>
        <w:topLinePunct w:val="0"/>
        <w:autoSpaceDE/>
        <w:autoSpaceDN/>
        <w:bidi w:val="0"/>
        <w:ind w:firstLine="420" w:firstLineChars="200"/>
        <w:textAlignment w:val="auto"/>
        <w:rPr>
          <w:rFonts w:hint="eastAsia" w:ascii="仿宋_GB2312" w:eastAsia="仿宋_GB2312"/>
          <w:color w:val="000000"/>
          <w:szCs w:val="21"/>
        </w:rPr>
      </w:pPr>
    </w:p>
    <w:p>
      <w:pPr>
        <w:pageBreakBefore w:val="0"/>
        <w:tabs>
          <w:tab w:val="left" w:pos="3056"/>
          <w:tab w:val="center" w:pos="4908"/>
        </w:tabs>
        <w:kinsoku/>
        <w:wordWrap/>
        <w:overflowPunct/>
        <w:topLinePunct w:val="0"/>
        <w:autoSpaceDE/>
        <w:autoSpaceDN/>
        <w:bidi w:val="0"/>
        <w:ind w:firstLine="420" w:firstLineChars="200"/>
        <w:jc w:val="left"/>
        <w:textAlignment w:val="auto"/>
        <w:rPr>
          <w:rFonts w:hint="default" w:ascii="仿宋_GB2312" w:hAnsi="宋体" w:eastAsia="仿宋_GB2312" w:cs="宋体"/>
          <w:color w:val="auto"/>
          <w:sz w:val="32"/>
          <w:szCs w:val="32"/>
          <w:lang w:val="en-US" w:eastAsia="zh-CN"/>
        </w:rPr>
      </w:pPr>
      <w:r>
        <w:rPr>
          <w:rFonts w:hint="eastAsia" w:ascii="仿宋_GB2312" w:eastAsia="仿宋_GB2312"/>
          <w:color w:val="000000"/>
          <w:szCs w:val="21"/>
        </w:rPr>
        <w:tab/>
      </w:r>
      <w:r>
        <w:rPr>
          <w:rFonts w:hint="eastAsia" w:ascii="仿宋_GB2312" w:eastAsia="仿宋_GB2312"/>
          <w:color w:val="000000"/>
          <w:szCs w:val="21"/>
        </w:rPr>
        <w:t xml:space="preserve">                 </w:t>
      </w:r>
      <w:r>
        <w:rPr>
          <w:rFonts w:hint="eastAsia" w:ascii="仿宋_GB2312" w:eastAsia="仿宋_GB2312"/>
          <w:color w:val="000000"/>
          <w:szCs w:val="21"/>
        </w:rPr>
        <w:tab/>
      </w:r>
      <w:r>
        <w:rPr>
          <w:rFonts w:hint="eastAsia" w:ascii="仿宋_GB2312" w:eastAsia="仿宋_GB2312"/>
          <w:color w:val="000000"/>
          <w:szCs w:val="21"/>
        </w:rPr>
        <w:t>体检日期：二О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Gungsuh">
    <w:panose1 w:val="02030600000101010101"/>
    <w:charset w:val="81"/>
    <w:family w:val="roman"/>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C3E88"/>
    <w:rsid w:val="01EB087C"/>
    <w:rsid w:val="0272602B"/>
    <w:rsid w:val="02A44CC9"/>
    <w:rsid w:val="03612AB9"/>
    <w:rsid w:val="038F0B05"/>
    <w:rsid w:val="0818609E"/>
    <w:rsid w:val="0B03098F"/>
    <w:rsid w:val="0B0B055C"/>
    <w:rsid w:val="0BA466B5"/>
    <w:rsid w:val="0C707110"/>
    <w:rsid w:val="0D1C7AD2"/>
    <w:rsid w:val="0DB97712"/>
    <w:rsid w:val="0DCB0190"/>
    <w:rsid w:val="0E5161A0"/>
    <w:rsid w:val="0F0B5845"/>
    <w:rsid w:val="0FD92A04"/>
    <w:rsid w:val="10E94BAC"/>
    <w:rsid w:val="14F0527D"/>
    <w:rsid w:val="15D76DA8"/>
    <w:rsid w:val="163324D5"/>
    <w:rsid w:val="16C0152C"/>
    <w:rsid w:val="16EB0BEB"/>
    <w:rsid w:val="17130062"/>
    <w:rsid w:val="175D6004"/>
    <w:rsid w:val="1969402F"/>
    <w:rsid w:val="1A5D7097"/>
    <w:rsid w:val="1AC6399E"/>
    <w:rsid w:val="1C9D6AEA"/>
    <w:rsid w:val="1CE77399"/>
    <w:rsid w:val="1E6E4634"/>
    <w:rsid w:val="1F4161C2"/>
    <w:rsid w:val="1FE52948"/>
    <w:rsid w:val="211056C8"/>
    <w:rsid w:val="21BA60B8"/>
    <w:rsid w:val="221E695E"/>
    <w:rsid w:val="22491871"/>
    <w:rsid w:val="22540639"/>
    <w:rsid w:val="2294713C"/>
    <w:rsid w:val="22C55FFA"/>
    <w:rsid w:val="234654AF"/>
    <w:rsid w:val="245A650F"/>
    <w:rsid w:val="24C71E2A"/>
    <w:rsid w:val="27834A33"/>
    <w:rsid w:val="289A5BCF"/>
    <w:rsid w:val="28FA5745"/>
    <w:rsid w:val="29131DE9"/>
    <w:rsid w:val="2A805CC6"/>
    <w:rsid w:val="2B885D64"/>
    <w:rsid w:val="2BFB0CFF"/>
    <w:rsid w:val="2D4C3DC5"/>
    <w:rsid w:val="2E0F65B3"/>
    <w:rsid w:val="2EF33478"/>
    <w:rsid w:val="2F7C23E2"/>
    <w:rsid w:val="300410E2"/>
    <w:rsid w:val="33AF7EE8"/>
    <w:rsid w:val="33E0587C"/>
    <w:rsid w:val="34E04BBB"/>
    <w:rsid w:val="35686E5B"/>
    <w:rsid w:val="365A0F20"/>
    <w:rsid w:val="37964BA3"/>
    <w:rsid w:val="38A809A3"/>
    <w:rsid w:val="3C270BF6"/>
    <w:rsid w:val="3C856583"/>
    <w:rsid w:val="3EE06101"/>
    <w:rsid w:val="3F302495"/>
    <w:rsid w:val="439B74F1"/>
    <w:rsid w:val="43E717CB"/>
    <w:rsid w:val="44147C48"/>
    <w:rsid w:val="4434432A"/>
    <w:rsid w:val="462C7341"/>
    <w:rsid w:val="47152B60"/>
    <w:rsid w:val="47961F2B"/>
    <w:rsid w:val="47A54A40"/>
    <w:rsid w:val="48A372D7"/>
    <w:rsid w:val="48B83299"/>
    <w:rsid w:val="4B6D3ECA"/>
    <w:rsid w:val="4BC06A85"/>
    <w:rsid w:val="4BFB7083"/>
    <w:rsid w:val="4C78770B"/>
    <w:rsid w:val="4F014B60"/>
    <w:rsid w:val="4F2435FC"/>
    <w:rsid w:val="50602CA8"/>
    <w:rsid w:val="51921D51"/>
    <w:rsid w:val="544E25DE"/>
    <w:rsid w:val="57383DCA"/>
    <w:rsid w:val="57CB7DB5"/>
    <w:rsid w:val="57EB6A47"/>
    <w:rsid w:val="584E30D9"/>
    <w:rsid w:val="59387E5E"/>
    <w:rsid w:val="59F54932"/>
    <w:rsid w:val="5B9A7509"/>
    <w:rsid w:val="5C1847E3"/>
    <w:rsid w:val="5C883E27"/>
    <w:rsid w:val="5CB904DB"/>
    <w:rsid w:val="5DE32C90"/>
    <w:rsid w:val="5E7D1FDB"/>
    <w:rsid w:val="5F7F446A"/>
    <w:rsid w:val="5FC554E4"/>
    <w:rsid w:val="618132D6"/>
    <w:rsid w:val="653A4357"/>
    <w:rsid w:val="6A0344CB"/>
    <w:rsid w:val="6B0D643C"/>
    <w:rsid w:val="6C9408C0"/>
    <w:rsid w:val="6E610E6D"/>
    <w:rsid w:val="6EA97604"/>
    <w:rsid w:val="6EEB6A34"/>
    <w:rsid w:val="6F2242DA"/>
    <w:rsid w:val="6FF639CD"/>
    <w:rsid w:val="72471598"/>
    <w:rsid w:val="72CE3BB2"/>
    <w:rsid w:val="75BD6A8C"/>
    <w:rsid w:val="777D1E83"/>
    <w:rsid w:val="78033E21"/>
    <w:rsid w:val="78FD67AA"/>
    <w:rsid w:val="7B584F37"/>
    <w:rsid w:val="7D5025E1"/>
    <w:rsid w:val="7DDF2BCB"/>
    <w:rsid w:val="7EF37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480" w:firstLineChars="200"/>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adjustRightInd w:val="0"/>
      <w:snapToGrid w:val="0"/>
      <w:spacing w:line="540" w:lineRule="exact"/>
      <w:ind w:left="153" w:leftChars="73" w:firstLine="640" w:firstLineChars="200"/>
    </w:pPr>
    <w:rPr>
      <w:rFonts w:eastAsia="仿宋_GB2312"/>
      <w:sz w:val="32"/>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Hyperlink"/>
    <w:qFormat/>
    <w:uiPriority w:val="0"/>
    <w:rPr>
      <w:color w:val="0000FF"/>
      <w:u w:val="single"/>
    </w:rPr>
  </w:style>
  <w:style w:type="paragraph" w:customStyle="1" w:styleId="14">
    <w:name w:val="Heading #2|1"/>
    <w:basedOn w:val="1"/>
    <w:qFormat/>
    <w:uiPriority w:val="0"/>
    <w:pPr>
      <w:widowControl w:val="0"/>
      <w:shd w:val="clear" w:color="auto" w:fill="auto"/>
      <w:spacing w:after="540" w:line="562"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5">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2019-11-11T03:14:00Z</dcterms:created>
  <dc:creator>招生办</dc:creator>
  <cp:lastModifiedBy> 景</cp:lastModifiedBy>
  <cp:lastPrinted>2021-01-07T06:45:00Z</cp:lastPrinted>
  <dcterms:modified xsi:type="dcterms:W3CDTF">2021-01-22T06:41:59Z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