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2020年肇庆学院本科插班生招生简章（新）</w:t>
      </w:r>
    </w:p>
    <w:p>
      <w:pPr>
        <w:snapToGrid w:val="0"/>
        <w:spacing w:line="540" w:lineRule="exact"/>
        <w:rPr>
          <w:rFonts w:ascii="仿宋_GB2312" w:hAnsi="仿宋" w:eastAsia="仿宋_GB2312"/>
          <w:color w:val="000000"/>
          <w:sz w:val="32"/>
          <w:szCs w:val="32"/>
        </w:rPr>
      </w:pPr>
    </w:p>
    <w:p>
      <w:pPr>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根据《关于做好2020年全国硕士研究生和普通专升本招生计划管理工作的通知》（教发司</w:t>
      </w:r>
      <w:r>
        <w:rPr>
          <w:rFonts w:hint="eastAsia" w:ascii="宋体" w:hAnsi="宋体" w:cs="宋体"/>
          <w:color w:val="000000"/>
          <w:sz w:val="32"/>
          <w:szCs w:val="32"/>
        </w:rPr>
        <w:t>﹝</w:t>
      </w:r>
      <w:r>
        <w:rPr>
          <w:rFonts w:hint="eastAsia" w:ascii="仿宋_GB2312" w:hAnsi="仿宋" w:eastAsia="仿宋_GB2312"/>
          <w:color w:val="000000"/>
          <w:sz w:val="32"/>
          <w:szCs w:val="32"/>
        </w:rPr>
        <w:t>2020</w:t>
      </w:r>
      <w:r>
        <w:rPr>
          <w:rFonts w:hint="eastAsia" w:ascii="宋体" w:hAnsi="宋体" w:cs="宋体"/>
          <w:color w:val="000000"/>
          <w:sz w:val="32"/>
          <w:szCs w:val="32"/>
        </w:rPr>
        <w:t>﹞</w:t>
      </w:r>
      <w:r>
        <w:rPr>
          <w:rFonts w:hint="eastAsia" w:ascii="仿宋_GB2312" w:hAnsi="仿宋" w:eastAsia="仿宋_GB2312"/>
          <w:color w:val="000000"/>
          <w:sz w:val="32"/>
          <w:szCs w:val="32"/>
        </w:rPr>
        <w:t>19号）精神，为</w:t>
      </w:r>
      <w:r>
        <w:rPr>
          <w:rFonts w:hint="eastAsia" w:ascii="仿宋_GB2312" w:hAnsi="仿宋" w:eastAsia="仿宋_GB2312"/>
          <w:sz w:val="32"/>
          <w:szCs w:val="32"/>
        </w:rPr>
        <w:t>充分发挥高校办学潜能，经研究，决定进一步</w:t>
      </w:r>
      <w:r>
        <w:rPr>
          <w:rFonts w:hint="eastAsia" w:ascii="仿宋_GB2312" w:hAnsi="仿宋" w:eastAsia="仿宋_GB2312"/>
          <w:b/>
          <w:bCs/>
          <w:sz w:val="32"/>
          <w:szCs w:val="32"/>
        </w:rPr>
        <w:t>扩大</w:t>
      </w:r>
      <w:r>
        <w:rPr>
          <w:rFonts w:hint="eastAsia" w:ascii="仿宋_GB2312" w:hAnsi="仿宋" w:eastAsia="仿宋_GB2312"/>
          <w:sz w:val="32"/>
          <w:szCs w:val="32"/>
        </w:rPr>
        <w:t>我校</w:t>
      </w:r>
      <w:r>
        <w:rPr>
          <w:rFonts w:hint="eastAsia" w:ascii="仿宋_GB2312" w:hAnsi="仿宋" w:eastAsia="仿宋_GB2312"/>
          <w:color w:val="000000"/>
          <w:sz w:val="32"/>
          <w:szCs w:val="32"/>
        </w:rPr>
        <w:t>2020年普通高校本科插班生（以下简称2020年本科插班生）招生规模。</w:t>
      </w:r>
      <w:r>
        <w:rPr>
          <w:rFonts w:hint="eastAsia" w:ascii="仿宋_GB2312" w:hAnsi="仿宋" w:eastAsia="仿宋_GB2312"/>
          <w:sz w:val="32"/>
          <w:szCs w:val="32"/>
        </w:rPr>
        <w:t>为更好地完成招生任务，切实维护招生考试公平公正，</w:t>
      </w:r>
      <w:r>
        <w:rPr>
          <w:rFonts w:hint="eastAsia" w:ascii="仿宋_GB2312" w:hAnsi="仿宋" w:eastAsia="仿宋_GB2312"/>
          <w:color w:val="000000"/>
          <w:sz w:val="32"/>
          <w:szCs w:val="32"/>
        </w:rPr>
        <w:t>定于</w:t>
      </w:r>
      <w:r>
        <w:rPr>
          <w:rFonts w:hint="eastAsia" w:ascii="仿宋_GB2312" w:hAnsi="仿宋" w:eastAsia="仿宋_GB2312"/>
          <w:b/>
          <w:bCs/>
          <w:color w:val="000000"/>
          <w:sz w:val="32"/>
          <w:szCs w:val="32"/>
          <w:u w:val="single"/>
        </w:rPr>
        <w:t>2020年3月25日至31日前</w:t>
      </w:r>
      <w:r>
        <w:rPr>
          <w:rFonts w:hint="eastAsia" w:ascii="仿宋_GB2312" w:hAnsi="仿宋" w:eastAsia="仿宋_GB2312"/>
          <w:color w:val="000000"/>
          <w:sz w:val="32"/>
          <w:szCs w:val="32"/>
        </w:rPr>
        <w:t>进行我校2020年本科插班生招生考试</w:t>
      </w:r>
      <w:r>
        <w:rPr>
          <w:rFonts w:hint="eastAsia" w:ascii="仿宋_GB2312" w:hAnsi="仿宋" w:eastAsia="仿宋_GB2312"/>
          <w:b/>
          <w:bCs/>
          <w:color w:val="000000"/>
          <w:sz w:val="32"/>
          <w:szCs w:val="32"/>
          <w:u w:val="single"/>
        </w:rPr>
        <w:t>补报名</w:t>
      </w:r>
      <w:r>
        <w:rPr>
          <w:rFonts w:hint="eastAsia" w:ascii="仿宋_GB2312" w:hAnsi="仿宋" w:eastAsia="仿宋_GB2312"/>
          <w:color w:val="000000"/>
          <w:sz w:val="32"/>
          <w:szCs w:val="32"/>
        </w:rPr>
        <w:t>工作，现将有关事宜通知如下：</w:t>
      </w:r>
    </w:p>
    <w:p>
      <w:pPr>
        <w:snapToGrid w:val="0"/>
        <w:spacing w:line="54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一、补报名条件和范围</w:t>
      </w:r>
    </w:p>
    <w:p>
      <w:pPr>
        <w:snapToGrid w:val="0"/>
        <w:spacing w:line="540" w:lineRule="exact"/>
        <w:ind w:firstLine="640" w:firstLineChars="200"/>
        <w:rPr>
          <w:rFonts w:ascii="仿宋_GB2312" w:hAnsi="仿宋" w:eastAsia="仿宋_GB2312" w:cs="宋体"/>
          <w:color w:val="000000"/>
          <w:sz w:val="32"/>
          <w:szCs w:val="32"/>
        </w:rPr>
      </w:pPr>
      <w:r>
        <w:rPr>
          <w:rFonts w:hint="eastAsia" w:ascii="仿宋_GB2312" w:hAnsi="仿宋" w:eastAsia="仿宋_GB2312"/>
          <w:color w:val="000000"/>
          <w:sz w:val="32"/>
          <w:szCs w:val="32"/>
        </w:rPr>
        <w:t>（一）招生对象及报考条件：按照《关于印发</w:t>
      </w:r>
      <w:r>
        <w:rPr>
          <w:rFonts w:hint="eastAsia" w:ascii="仿宋_GB2312" w:hAnsi="仿宋" w:eastAsia="仿宋_GB2312" w:cs="宋体"/>
          <w:color w:val="000000"/>
          <w:sz w:val="32"/>
          <w:szCs w:val="32"/>
        </w:rPr>
        <w:t>&lt;广东省2020年普通高等学校本科插班生招生工作规定&gt;的通知</w:t>
      </w:r>
      <w:r>
        <w:rPr>
          <w:rFonts w:hint="eastAsia" w:ascii="仿宋_GB2312" w:hAnsi="仿宋" w:eastAsia="仿宋_GB2312"/>
          <w:color w:val="000000"/>
          <w:sz w:val="32"/>
          <w:szCs w:val="32"/>
        </w:rPr>
        <w:t>》（粤招办</w:t>
      </w:r>
      <w:r>
        <w:rPr>
          <w:rFonts w:hint="eastAsia" w:ascii="宋体" w:hAnsi="宋体" w:cs="宋体"/>
          <w:color w:val="000000"/>
          <w:sz w:val="32"/>
          <w:szCs w:val="32"/>
        </w:rPr>
        <w:t>﹝</w:t>
      </w:r>
      <w:r>
        <w:rPr>
          <w:rFonts w:hint="eastAsia" w:ascii="仿宋_GB2312" w:hAnsi="仿宋" w:eastAsia="仿宋_GB2312" w:cs="宋体"/>
          <w:color w:val="000000"/>
          <w:sz w:val="32"/>
          <w:szCs w:val="32"/>
        </w:rPr>
        <w:t>2019</w:t>
      </w:r>
      <w:r>
        <w:rPr>
          <w:rFonts w:hint="eastAsia" w:ascii="宋体" w:hAnsi="宋体" w:cs="宋体"/>
          <w:color w:val="000000"/>
          <w:sz w:val="32"/>
          <w:szCs w:val="32"/>
        </w:rPr>
        <w:t>﹞</w:t>
      </w:r>
      <w:r>
        <w:rPr>
          <w:rFonts w:hint="eastAsia" w:ascii="仿宋_GB2312" w:hAnsi="仿宋" w:eastAsia="仿宋_GB2312" w:cs="宋体"/>
          <w:color w:val="000000"/>
          <w:sz w:val="32"/>
          <w:szCs w:val="32"/>
        </w:rPr>
        <w:t>38号</w:t>
      </w:r>
      <w:r>
        <w:rPr>
          <w:rFonts w:hint="eastAsia" w:ascii="仿宋_GB2312" w:hAnsi="仿宋" w:eastAsia="仿宋_GB2312"/>
          <w:color w:val="000000"/>
          <w:sz w:val="32"/>
          <w:szCs w:val="32"/>
        </w:rPr>
        <w:t>）规定执行，</w:t>
      </w:r>
      <w:r>
        <w:rPr>
          <w:rFonts w:hint="eastAsia" w:ascii="仿宋_GB2312" w:hAnsi="仿宋" w:eastAsia="仿宋_GB2312" w:cs="宋体"/>
          <w:color w:val="000000"/>
          <w:sz w:val="32"/>
          <w:szCs w:val="32"/>
        </w:rPr>
        <w:t>广东省户籍的取得国家承认学历的专科毕业生（含成人教育、自学考试、网络教育）的毕业证书落款日期调整为补报名截止日</w:t>
      </w:r>
      <w:r>
        <w:rPr>
          <w:rFonts w:hint="eastAsia" w:ascii="仿宋_GB2312" w:hAnsi="仿宋" w:eastAsia="仿宋_GB2312" w:cs="宋体"/>
          <w:b/>
          <w:bCs/>
          <w:color w:val="000000"/>
          <w:sz w:val="32"/>
          <w:szCs w:val="32"/>
        </w:rPr>
        <w:t>2</w:t>
      </w:r>
      <w:r>
        <w:rPr>
          <w:rFonts w:hint="eastAsia" w:ascii="仿宋_GB2312" w:hAnsi="仿宋" w:eastAsia="仿宋_GB2312"/>
          <w:b/>
          <w:bCs/>
          <w:color w:val="000000"/>
          <w:sz w:val="32"/>
          <w:szCs w:val="32"/>
        </w:rPr>
        <w:t>020年3月31日</w:t>
      </w:r>
      <w:r>
        <w:rPr>
          <w:rFonts w:hint="eastAsia" w:ascii="仿宋_GB2312" w:hAnsi="仿宋" w:eastAsia="仿宋_GB2312"/>
          <w:color w:val="000000"/>
          <w:sz w:val="32"/>
          <w:szCs w:val="32"/>
        </w:rPr>
        <w:t>前。</w:t>
      </w:r>
    </w:p>
    <w:p>
      <w:pPr>
        <w:spacing w:line="550" w:lineRule="exact"/>
        <w:ind w:firstLine="640" w:firstLineChars="200"/>
        <w:rPr>
          <w:rFonts w:ascii="仿宋_GB2312" w:hAnsi="仿宋" w:eastAsia="仿宋_GB2312"/>
          <w:sz w:val="32"/>
          <w:szCs w:val="32"/>
        </w:rPr>
      </w:pPr>
      <w:r>
        <w:rPr>
          <w:rFonts w:hint="eastAsia" w:ascii="仿宋_GB2312" w:hAnsi="仿宋" w:eastAsia="仿宋_GB2312"/>
          <w:bCs/>
          <w:sz w:val="32"/>
          <w:szCs w:val="32"/>
        </w:rPr>
        <w:t>1．</w:t>
      </w:r>
      <w:r>
        <w:rPr>
          <w:rFonts w:hint="eastAsia" w:ascii="仿宋_GB2312" w:hAnsi="仿宋" w:eastAsia="仿宋_GB2312"/>
          <w:sz w:val="32"/>
          <w:szCs w:val="32"/>
        </w:rPr>
        <w:t>拥护中国共产党的领导，热爱祖国，品德良好，遵纪守法，愿为社会主义现代化建设勤奋学习且具培养前途，身体健康状况符合普通高校招生的体检要求，并符合下列条件之一的人员可以报考：</w:t>
      </w:r>
    </w:p>
    <w:p>
      <w:pPr>
        <w:spacing w:line="550" w:lineRule="exact"/>
        <w:ind w:firstLine="640" w:firstLineChars="200"/>
        <w:rPr>
          <w:rFonts w:ascii="仿宋_GB2312" w:hAnsi="仿宋" w:eastAsia="仿宋_GB2312"/>
          <w:sz w:val="32"/>
          <w:szCs w:val="32"/>
          <w:shd w:val="clear" w:color="auto" w:fill="FFFF00"/>
        </w:rPr>
      </w:pPr>
      <w:r>
        <w:rPr>
          <w:rFonts w:hint="eastAsia" w:ascii="仿宋_GB2312" w:hAnsi="仿宋" w:eastAsia="仿宋_GB2312"/>
          <w:sz w:val="32"/>
          <w:szCs w:val="32"/>
        </w:rPr>
        <w:t>（1）就读广东省普通高校的应届专科毕业生；</w:t>
      </w:r>
    </w:p>
    <w:p>
      <w:pPr>
        <w:spacing w:line="550" w:lineRule="exact"/>
        <w:ind w:firstLine="640" w:firstLineChars="200"/>
        <w:rPr>
          <w:rFonts w:ascii="仿宋_GB2312" w:hAnsi="仿宋" w:eastAsia="仿宋_GB2312"/>
          <w:sz w:val="32"/>
          <w:szCs w:val="32"/>
        </w:rPr>
      </w:pPr>
      <w:r>
        <w:rPr>
          <w:rFonts w:hint="eastAsia" w:ascii="仿宋_GB2312" w:hAnsi="仿宋" w:eastAsia="仿宋_GB2312"/>
          <w:sz w:val="32"/>
          <w:szCs w:val="32"/>
        </w:rPr>
        <w:t>（2）在广东省参加普通高考，就读外省普通高校的应届专科毕业生；</w:t>
      </w:r>
    </w:p>
    <w:p>
      <w:pPr>
        <w:spacing w:line="550" w:lineRule="exact"/>
        <w:ind w:firstLine="640" w:firstLineChars="200"/>
        <w:rPr>
          <w:rFonts w:ascii="仿宋_GB2312" w:hAnsi="仿宋" w:eastAsia="仿宋_GB2312"/>
          <w:sz w:val="32"/>
          <w:szCs w:val="32"/>
        </w:rPr>
      </w:pPr>
      <w:r>
        <w:rPr>
          <w:rFonts w:hint="eastAsia" w:ascii="仿宋_GB2312" w:hAnsi="仿宋" w:eastAsia="仿宋_GB2312"/>
          <w:sz w:val="32"/>
          <w:szCs w:val="32"/>
        </w:rPr>
        <w:t>（3）择业期内（毕业两年内，下同），非广东省户籍在广东省内就读的普通高校专科毕业生和在广东省参加普通高考就读外省普通高校的专科毕业生；</w:t>
      </w:r>
    </w:p>
    <w:p>
      <w:pPr>
        <w:spacing w:line="550" w:lineRule="exact"/>
        <w:ind w:firstLine="640" w:firstLineChars="200"/>
        <w:rPr>
          <w:rFonts w:ascii="仿宋_GB2312" w:hAnsi="仿宋" w:eastAsia="仿宋_GB2312"/>
          <w:sz w:val="32"/>
          <w:szCs w:val="32"/>
        </w:rPr>
      </w:pPr>
      <w:r>
        <w:rPr>
          <w:rFonts w:hint="eastAsia" w:ascii="仿宋_GB2312" w:hAnsi="仿宋" w:eastAsia="仿宋_GB2312"/>
          <w:sz w:val="32"/>
          <w:szCs w:val="32"/>
        </w:rPr>
        <w:t>（4）广东省户籍的普通高校往届专科毕业生（含择业期内的往届毕业生）；</w:t>
      </w:r>
    </w:p>
    <w:p>
      <w:pPr>
        <w:spacing w:line="550" w:lineRule="exact"/>
        <w:ind w:firstLine="640" w:firstLineChars="200"/>
        <w:rPr>
          <w:rFonts w:ascii="仿宋_GB2312" w:hAnsi="仿宋" w:eastAsia="仿宋_GB2312"/>
          <w:sz w:val="32"/>
          <w:szCs w:val="32"/>
        </w:rPr>
      </w:pPr>
      <w:r>
        <w:rPr>
          <w:rFonts w:hint="eastAsia" w:ascii="仿宋_GB2312" w:hAnsi="仿宋" w:eastAsia="仿宋_GB2312"/>
          <w:sz w:val="32"/>
          <w:szCs w:val="32"/>
        </w:rPr>
        <w:t>（5）广东省户籍的在报名确认截止日期前取得国家承认学历的专科毕业生（含成人教育、自学考试、网络教育，</w:t>
      </w:r>
      <w:r>
        <w:rPr>
          <w:rFonts w:hint="eastAsia" w:ascii="仿宋_GB2312" w:hAnsi="仿宋" w:eastAsia="仿宋_GB2312"/>
          <w:b/>
          <w:bCs/>
          <w:sz w:val="32"/>
          <w:szCs w:val="32"/>
        </w:rPr>
        <w:t>毕业证书落款日期在2020年3月31日前</w:t>
      </w:r>
      <w:r>
        <w:rPr>
          <w:rFonts w:hint="eastAsia" w:ascii="仿宋_GB2312" w:hAnsi="仿宋" w:eastAsia="仿宋_GB2312"/>
          <w:sz w:val="32"/>
          <w:szCs w:val="32"/>
        </w:rPr>
        <w:t>）。</w:t>
      </w:r>
    </w:p>
    <w:p>
      <w:pPr>
        <w:spacing w:line="550" w:lineRule="exact"/>
        <w:ind w:firstLine="630"/>
        <w:rPr>
          <w:rFonts w:ascii="仿宋_GB2312" w:hAnsi="仿宋" w:eastAsia="仿宋_GB2312"/>
          <w:sz w:val="32"/>
          <w:szCs w:val="32"/>
        </w:rPr>
      </w:pPr>
      <w:r>
        <w:rPr>
          <w:rFonts w:hint="eastAsia" w:ascii="仿宋_GB2312" w:hAnsi="仿宋" w:eastAsia="仿宋_GB2312"/>
          <w:sz w:val="32"/>
          <w:szCs w:val="32"/>
        </w:rPr>
        <w:t>（6）普通高校毕业的退役士兵，符合上述相应报考条件的，根据《教育部办公厅关于进一步做好高校学生参军入伍的通知》（教育厅</w:t>
      </w:r>
      <w:r>
        <w:rPr>
          <w:rFonts w:hint="eastAsia" w:ascii="仿宋" w:hAnsi="仿宋" w:eastAsia="仿宋" w:cs="仿宋"/>
          <w:sz w:val="32"/>
          <w:szCs w:val="32"/>
        </w:rPr>
        <w:t>〔</w:t>
      </w:r>
      <w:r>
        <w:rPr>
          <w:rFonts w:hint="eastAsia" w:ascii="仿宋_GB2312" w:hAnsi="仿宋" w:eastAsia="仿宋_GB2312"/>
          <w:sz w:val="32"/>
          <w:szCs w:val="32"/>
        </w:rPr>
        <w:t>2015</w:t>
      </w:r>
      <w:r>
        <w:rPr>
          <w:rFonts w:hint="eastAsia" w:ascii="仿宋" w:hAnsi="仿宋" w:eastAsia="仿宋" w:cs="仿宋"/>
          <w:sz w:val="32"/>
          <w:szCs w:val="32"/>
        </w:rPr>
        <w:t>〕</w:t>
      </w:r>
      <w:r>
        <w:rPr>
          <w:rFonts w:hint="eastAsia" w:ascii="仿宋_GB2312" w:hAnsi="仿宋" w:eastAsia="仿宋_GB2312"/>
          <w:sz w:val="32"/>
          <w:szCs w:val="32"/>
        </w:rPr>
        <w:t>3号）有关精神，实行计划单列；服义务兵役期间荣立三等功（含三等功）以上奖励的高职（专科）退役士兵考生（应届或往届）</w:t>
      </w:r>
      <w:r>
        <w:rPr>
          <w:rFonts w:hint="eastAsia" w:ascii="仿宋_GB2312" w:hAnsi="仿宋" w:eastAsia="仿宋_GB2312"/>
          <w:b/>
          <w:bCs/>
          <w:sz w:val="32"/>
          <w:szCs w:val="32"/>
        </w:rPr>
        <w:t>免试入读</w:t>
      </w:r>
      <w:r>
        <w:rPr>
          <w:rFonts w:hint="eastAsia" w:ascii="仿宋_GB2312" w:hAnsi="仿宋" w:eastAsia="仿宋_GB2312"/>
          <w:sz w:val="32"/>
          <w:szCs w:val="32"/>
        </w:rPr>
        <w:t>本年度我校招收本科插班生的专业。</w:t>
      </w:r>
    </w:p>
    <w:p>
      <w:pPr>
        <w:spacing w:line="550" w:lineRule="exact"/>
        <w:ind w:firstLine="640" w:firstLineChars="200"/>
        <w:rPr>
          <w:rFonts w:ascii="楷体_GB2312" w:hAnsi="仿宋" w:eastAsia="楷体_GB2312"/>
          <w:sz w:val="32"/>
          <w:szCs w:val="32"/>
        </w:rPr>
      </w:pPr>
      <w:r>
        <w:rPr>
          <w:rFonts w:hint="eastAsia" w:ascii="楷体_GB2312" w:hAnsi="仿宋" w:eastAsia="楷体_GB2312"/>
          <w:sz w:val="32"/>
          <w:szCs w:val="32"/>
        </w:rPr>
        <w:t>2．下列人员不得报考：</w:t>
      </w:r>
    </w:p>
    <w:p>
      <w:pPr>
        <w:spacing w:line="550" w:lineRule="exact"/>
        <w:ind w:firstLine="630"/>
        <w:rPr>
          <w:rFonts w:ascii="仿宋_GB2312" w:hAnsi="仿宋" w:eastAsia="仿宋_GB2312"/>
          <w:sz w:val="32"/>
          <w:szCs w:val="32"/>
        </w:rPr>
      </w:pPr>
      <w:r>
        <w:rPr>
          <w:rFonts w:hint="eastAsia" w:ascii="仿宋_GB2312" w:hAnsi="仿宋" w:eastAsia="仿宋_GB2312"/>
          <w:sz w:val="32"/>
          <w:szCs w:val="32"/>
        </w:rPr>
        <w:t>（1）普通高校应届毕业生之外的各类高等学历教育在校生；</w:t>
      </w:r>
    </w:p>
    <w:p>
      <w:pPr>
        <w:spacing w:line="550" w:lineRule="exact"/>
        <w:ind w:firstLine="630"/>
        <w:rPr>
          <w:rFonts w:ascii="仿宋_GB2312" w:hAnsi="仿宋" w:eastAsia="仿宋_GB2312"/>
          <w:sz w:val="32"/>
          <w:szCs w:val="32"/>
        </w:rPr>
      </w:pPr>
      <w:r>
        <w:rPr>
          <w:rFonts w:hint="eastAsia" w:ascii="仿宋_GB2312" w:hAnsi="仿宋" w:eastAsia="仿宋_GB2312"/>
          <w:sz w:val="32"/>
          <w:szCs w:val="32"/>
        </w:rPr>
        <w:t>（2）因违反国家教育考试规定,被给予暂停参加本科插班生招生考试处理且在停考期内的人员;</w:t>
      </w:r>
    </w:p>
    <w:p>
      <w:pPr>
        <w:spacing w:line="550" w:lineRule="exact"/>
        <w:ind w:firstLine="630"/>
        <w:rPr>
          <w:rFonts w:ascii="仿宋_GB2312" w:hAnsi="仿宋" w:eastAsia="仿宋_GB2312"/>
          <w:sz w:val="32"/>
          <w:szCs w:val="32"/>
        </w:rPr>
      </w:pPr>
      <w:r>
        <w:rPr>
          <w:rFonts w:hint="eastAsia" w:ascii="仿宋_GB2312" w:hAnsi="仿宋" w:eastAsia="仿宋_GB2312"/>
          <w:sz w:val="32"/>
          <w:szCs w:val="32"/>
        </w:rPr>
        <w:t>（3）因触犯刑律已被有关部门采取强制措施或正在服刑者；</w:t>
      </w:r>
    </w:p>
    <w:p>
      <w:pPr>
        <w:spacing w:line="550" w:lineRule="exact"/>
        <w:ind w:firstLine="630"/>
        <w:rPr>
          <w:rFonts w:ascii="仿宋_GB2312" w:eastAsia="仿宋_GB2312"/>
          <w:sz w:val="32"/>
          <w:szCs w:val="32"/>
        </w:rPr>
      </w:pPr>
      <w:r>
        <w:rPr>
          <w:rFonts w:hint="eastAsia" w:ascii="仿宋_GB2312" w:hAnsi="仿宋" w:eastAsia="仿宋_GB2312"/>
          <w:sz w:val="32"/>
          <w:szCs w:val="32"/>
        </w:rPr>
        <w:t>（4）不符合报考条件的其他人员。</w:t>
      </w:r>
    </w:p>
    <w:p>
      <w:pPr>
        <w:snapToGrid w:val="0"/>
        <w:spacing w:line="540" w:lineRule="exact"/>
        <w:ind w:firstLine="630"/>
        <w:rPr>
          <w:rFonts w:ascii="仿宋_GB2312" w:hAnsi="仿宋" w:eastAsia="仿宋_GB2312"/>
          <w:color w:val="000000"/>
          <w:sz w:val="32"/>
          <w:szCs w:val="32"/>
        </w:rPr>
      </w:pPr>
      <w:r>
        <w:rPr>
          <w:rFonts w:hint="eastAsia" w:ascii="仿宋_GB2312" w:hAnsi="仿宋" w:eastAsia="仿宋_GB2312" w:cs="宋体"/>
          <w:color w:val="000000"/>
          <w:sz w:val="32"/>
          <w:szCs w:val="32"/>
        </w:rPr>
        <w:t>（二）</w:t>
      </w:r>
      <w:r>
        <w:rPr>
          <w:rFonts w:hint="eastAsia" w:ascii="仿宋_GB2312" w:hAnsi="仿宋" w:eastAsia="仿宋_GB2312"/>
          <w:color w:val="000000"/>
          <w:sz w:val="32"/>
          <w:szCs w:val="32"/>
        </w:rPr>
        <w:t>2020年1月已成功报考我校2020年本科插班生招生考试的考生，若需修改原报考院校和报考专业志愿的，须登录“广东省2020年本科插班生报名系统”进行修改，并重新提交</w:t>
      </w:r>
      <w:r>
        <w:rPr>
          <w:rFonts w:hint="eastAsia" w:ascii="仿宋_GB2312" w:hAnsi="仿宋" w:eastAsia="仿宋_GB2312"/>
          <w:color w:val="000000"/>
          <w:sz w:val="32"/>
          <w:szCs w:val="32"/>
          <w:lang w:eastAsia="zh-CN"/>
        </w:rPr>
        <w:t>招生院</w:t>
      </w:r>
      <w:r>
        <w:rPr>
          <w:rFonts w:hint="eastAsia" w:ascii="仿宋_GB2312" w:hAnsi="仿宋" w:eastAsia="仿宋_GB2312"/>
          <w:color w:val="000000"/>
          <w:sz w:val="32"/>
          <w:szCs w:val="32"/>
        </w:rPr>
        <w:t>校审核。</w:t>
      </w:r>
    </w:p>
    <w:p>
      <w:pPr>
        <w:snapToGrid w:val="0"/>
        <w:spacing w:line="54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二、原已报名考生修改报考志愿方式及截止时间</w:t>
      </w:r>
    </w:p>
    <w:p>
      <w:pPr>
        <w:snapToGrid w:val="0"/>
        <w:spacing w:line="540" w:lineRule="exact"/>
        <w:ind w:firstLine="640" w:firstLineChars="200"/>
        <w:rPr>
          <w:rFonts w:ascii="仿宋_GB2312" w:hAnsi="仿宋" w:eastAsia="仿宋_GB2312"/>
          <w:b/>
          <w:bCs/>
          <w:sz w:val="32"/>
          <w:szCs w:val="32"/>
          <w:u w:val="single"/>
        </w:rPr>
      </w:pPr>
      <w:r>
        <w:rPr>
          <w:rFonts w:hint="eastAsia" w:ascii="仿宋_GB2312" w:hAnsi="仿宋" w:eastAsia="仿宋_GB2312"/>
          <w:sz w:val="32"/>
          <w:szCs w:val="32"/>
        </w:rPr>
        <w:t>（一）</w:t>
      </w:r>
      <w:r>
        <w:rPr>
          <w:rFonts w:hint="eastAsia" w:ascii="仿宋_GB2312" w:hAnsi="仿宋" w:eastAsia="仿宋_GB2312"/>
          <w:b/>
          <w:bCs/>
          <w:sz w:val="32"/>
          <w:szCs w:val="32"/>
          <w:u w:val="single"/>
        </w:rPr>
        <w:t>已报名考生</w:t>
      </w:r>
      <w:r>
        <w:rPr>
          <w:rFonts w:hint="eastAsia" w:ascii="仿宋_GB2312" w:hAnsi="仿宋" w:eastAsia="仿宋_GB2312"/>
          <w:sz w:val="32"/>
          <w:szCs w:val="32"/>
        </w:rPr>
        <w:t>若自愿修改报考志愿，可于</w:t>
      </w:r>
      <w:r>
        <w:rPr>
          <w:rFonts w:hint="eastAsia" w:ascii="仿宋_GB2312" w:hAnsi="仿宋" w:eastAsia="仿宋_GB2312"/>
          <w:b/>
          <w:bCs/>
          <w:sz w:val="32"/>
          <w:szCs w:val="32"/>
          <w:u w:val="single"/>
        </w:rPr>
        <w:t>2020年3月25日至28日（共4天）</w:t>
      </w:r>
      <w:r>
        <w:rPr>
          <w:rFonts w:hint="eastAsia" w:ascii="仿宋_GB2312" w:hAnsi="仿宋" w:eastAsia="仿宋_GB2312"/>
          <w:sz w:val="32"/>
          <w:szCs w:val="32"/>
        </w:rPr>
        <w:t>通过互联网登录“广东省2020年本科插班生报名系统”（网址：http://www.eeagd.edu.cn/bcks）进行报考志愿修改，除报考志愿外，考生不得修改其他信息。</w:t>
      </w:r>
      <w:r>
        <w:rPr>
          <w:rFonts w:hint="eastAsia" w:ascii="仿宋_GB2312" w:hAnsi="仿宋" w:eastAsia="仿宋_GB2312"/>
          <w:b/>
          <w:bCs/>
          <w:sz w:val="32"/>
          <w:szCs w:val="32"/>
          <w:u w:val="single"/>
        </w:rPr>
        <w:t>每个已报名的考生只能修改一次报考志愿。</w:t>
      </w:r>
    </w:p>
    <w:p>
      <w:pPr>
        <w:snapToGrid w:val="0"/>
        <w:spacing w:line="540" w:lineRule="exact"/>
        <w:ind w:firstLine="643" w:firstLineChars="200"/>
        <w:rPr>
          <w:rFonts w:ascii="仿宋_GB2312" w:hAnsi="仿宋" w:eastAsia="仿宋_GB2312"/>
          <w:sz w:val="32"/>
          <w:szCs w:val="32"/>
        </w:rPr>
      </w:pPr>
      <w:r>
        <w:rPr>
          <w:rFonts w:hint="eastAsia" w:ascii="仿宋_GB2312" w:hAnsi="仿宋" w:eastAsia="仿宋_GB2312"/>
          <w:b/>
          <w:bCs/>
          <w:sz w:val="32"/>
          <w:szCs w:val="32"/>
        </w:rPr>
        <w:t>考生</w:t>
      </w:r>
      <w:r>
        <w:rPr>
          <w:rFonts w:hint="eastAsia" w:ascii="仿宋_GB2312" w:hAnsi="仿宋" w:eastAsia="仿宋_GB2312"/>
          <w:b/>
          <w:bCs/>
          <w:sz w:val="32"/>
          <w:szCs w:val="32"/>
          <w:lang w:eastAsia="zh-CN"/>
        </w:rPr>
        <w:t>只能</w:t>
      </w:r>
      <w:r>
        <w:rPr>
          <w:rFonts w:hint="eastAsia" w:ascii="仿宋_GB2312" w:hAnsi="仿宋" w:eastAsia="仿宋_GB2312"/>
          <w:b/>
          <w:bCs/>
          <w:sz w:val="32"/>
          <w:szCs w:val="32"/>
        </w:rPr>
        <w:t>报考</w:t>
      </w:r>
      <w:r>
        <w:rPr>
          <w:rFonts w:hint="eastAsia" w:ascii="仿宋_GB2312" w:hAnsi="仿宋" w:eastAsia="仿宋_GB2312"/>
          <w:b/>
          <w:bCs/>
          <w:sz w:val="32"/>
          <w:szCs w:val="32"/>
          <w:lang w:eastAsia="zh-CN"/>
        </w:rPr>
        <w:t>一所</w:t>
      </w:r>
      <w:r>
        <w:rPr>
          <w:rFonts w:hint="eastAsia" w:ascii="仿宋_GB2312" w:hAnsi="仿宋" w:eastAsia="仿宋_GB2312"/>
          <w:b/>
          <w:bCs/>
          <w:sz w:val="32"/>
          <w:szCs w:val="32"/>
        </w:rPr>
        <w:t>院校，但可填报我校同一专业的最多3个不同教学点专业志愿，增加“是否服从调剂到同一专业其他教学点”选项；</w:t>
      </w:r>
      <w:r>
        <w:rPr>
          <w:rFonts w:hint="eastAsia" w:ascii="仿宋_GB2312" w:hAnsi="仿宋" w:eastAsia="仿宋_GB2312"/>
          <w:sz w:val="32"/>
          <w:szCs w:val="32"/>
        </w:rPr>
        <w:t>所报考的专业必须与考生原就读的专科专业相对应，具体要求和增加后计划数见附件一。</w:t>
      </w:r>
    </w:p>
    <w:p>
      <w:pPr>
        <w:snapToGrid w:val="0"/>
        <w:spacing w:line="540" w:lineRule="exact"/>
        <w:rPr>
          <w:rFonts w:ascii="仿宋_GB2312" w:hAnsi="仿宋" w:eastAsia="仿宋_GB2312"/>
          <w:color w:val="000000"/>
          <w:sz w:val="32"/>
          <w:szCs w:val="32"/>
        </w:rPr>
      </w:pPr>
      <w:r>
        <w:rPr>
          <w:rFonts w:hint="eastAsia" w:ascii="仿宋_GB2312" w:hAnsi="仿宋" w:eastAsia="仿宋_GB2312"/>
          <w:color w:val="000000"/>
          <w:sz w:val="32"/>
          <w:szCs w:val="32"/>
        </w:rPr>
        <w:t xml:space="preserve">    （二）考生在“修改报考志愿”页面将修改完成的院校或专业志愿提交后，我校将于48小时内完成资料审核，考生可以在“修改报考志愿”页面查看审核结果；修改的报考志愿院校审核通过后，考生将不能再修改报考志愿；若审核不通过，考生修改的报考志愿将恢复为原报考志愿，考生可以在规定时间内再次修改报考志愿并提交给报考院校审核。</w:t>
      </w:r>
    </w:p>
    <w:p>
      <w:pPr>
        <w:snapToGrid w:val="0"/>
        <w:spacing w:line="540" w:lineRule="exact"/>
        <w:rPr>
          <w:rFonts w:ascii="仿宋_GB2312" w:hAnsi="仿宋" w:eastAsia="仿宋_GB2312"/>
          <w:b/>
          <w:color w:val="000000"/>
          <w:sz w:val="32"/>
          <w:szCs w:val="32"/>
        </w:rPr>
      </w:pPr>
      <w:r>
        <w:rPr>
          <w:rFonts w:hint="eastAsia" w:ascii="仿宋_GB2312" w:hAnsi="仿宋" w:eastAsia="仿宋_GB2312"/>
          <w:color w:val="000000"/>
          <w:sz w:val="32"/>
          <w:szCs w:val="32"/>
        </w:rPr>
        <w:t xml:space="preserve">    （三）已报名考生不修改报考志愿，或修改的报考志愿未审核通过，考生参加考试及录取时将继续采用原报考志愿数据。</w:t>
      </w:r>
    </w:p>
    <w:p>
      <w:pPr>
        <w:widowControl/>
        <w:snapToGrid w:val="0"/>
        <w:spacing w:line="540" w:lineRule="exact"/>
        <w:ind w:firstLine="640"/>
        <w:jc w:val="left"/>
        <w:rPr>
          <w:rFonts w:ascii="仿宋_GB2312" w:hAnsi="仿宋" w:eastAsia="仿宋_GB2312"/>
          <w:b/>
          <w:bCs/>
          <w:color w:val="000000"/>
          <w:sz w:val="32"/>
          <w:szCs w:val="32"/>
        </w:rPr>
      </w:pPr>
      <w:r>
        <w:rPr>
          <w:rFonts w:hint="eastAsia" w:ascii="仿宋_GB2312" w:hAnsi="仿宋" w:eastAsia="仿宋_GB2312"/>
          <w:b/>
          <w:color w:val="000000"/>
          <w:sz w:val="32"/>
          <w:szCs w:val="32"/>
        </w:rPr>
        <w:t>（四）</w:t>
      </w:r>
      <w:r>
        <w:rPr>
          <w:rFonts w:hint="eastAsia" w:ascii="仿宋_GB2312" w:hAnsi="仿宋" w:eastAsia="仿宋_GB2312"/>
          <w:b/>
          <w:bCs/>
          <w:color w:val="000000"/>
          <w:sz w:val="32"/>
          <w:szCs w:val="32"/>
        </w:rPr>
        <w:t>已报名考生，原则上不予放弃报名，不予退回报考费。</w:t>
      </w:r>
    </w:p>
    <w:p>
      <w:pPr>
        <w:widowControl/>
        <w:snapToGrid w:val="0"/>
        <w:spacing w:line="540" w:lineRule="exact"/>
        <w:ind w:firstLine="640" w:firstLineChars="200"/>
        <w:jc w:val="left"/>
        <w:rPr>
          <w:rFonts w:ascii="仿宋_GB2312" w:hAnsi="仿宋" w:eastAsia="仿宋_GB2312"/>
          <w:color w:val="000000"/>
          <w:sz w:val="32"/>
          <w:szCs w:val="32"/>
        </w:rPr>
      </w:pPr>
      <w:r>
        <w:rPr>
          <w:rFonts w:hint="eastAsia" w:ascii="仿宋_GB2312" w:hAnsi="仿宋" w:eastAsia="仿宋_GB2312" w:cs="宋体"/>
          <w:color w:val="000000"/>
          <w:sz w:val="32"/>
          <w:szCs w:val="32"/>
        </w:rPr>
        <w:t>（五）</w:t>
      </w:r>
      <w:r>
        <w:rPr>
          <w:rFonts w:hint="eastAsia" w:ascii="仿宋_GB2312" w:hAnsi="仿宋" w:eastAsia="仿宋_GB2312"/>
          <w:color w:val="000000"/>
          <w:sz w:val="32"/>
          <w:szCs w:val="32"/>
        </w:rPr>
        <w:t>《关于印发</w:t>
      </w:r>
      <w:r>
        <w:rPr>
          <w:rFonts w:hint="eastAsia" w:ascii="仿宋_GB2312" w:hAnsi="仿宋" w:eastAsia="仿宋_GB2312" w:cs="宋体"/>
          <w:color w:val="000000"/>
          <w:sz w:val="32"/>
          <w:szCs w:val="32"/>
        </w:rPr>
        <w:t>&lt;广东省2020年普通高等学校本科插班生招生工作规定&gt;的通知</w:t>
      </w:r>
      <w:r>
        <w:rPr>
          <w:rFonts w:hint="eastAsia" w:ascii="仿宋_GB2312" w:hAnsi="仿宋" w:eastAsia="仿宋_GB2312"/>
          <w:color w:val="000000"/>
          <w:sz w:val="32"/>
          <w:szCs w:val="32"/>
        </w:rPr>
        <w:t>》（粤招办</w:t>
      </w:r>
      <w:r>
        <w:rPr>
          <w:rFonts w:hint="eastAsia" w:ascii="仿宋_GB2312" w:hAnsi="仿宋" w:eastAsia="仿宋_GB2312" w:cs="宋体"/>
          <w:color w:val="000000"/>
          <w:sz w:val="32"/>
          <w:szCs w:val="32"/>
        </w:rPr>
        <w:t>[2019]38号</w:t>
      </w:r>
      <w:r>
        <w:rPr>
          <w:rFonts w:hint="eastAsia" w:ascii="仿宋_GB2312" w:hAnsi="仿宋" w:eastAsia="仿宋_GB2312"/>
          <w:color w:val="000000"/>
          <w:sz w:val="32"/>
          <w:szCs w:val="32"/>
        </w:rPr>
        <w:t>）中部分规定调整如下：</w:t>
      </w:r>
    </w:p>
    <w:p>
      <w:pPr>
        <w:widowControl/>
        <w:snapToGrid w:val="0"/>
        <w:spacing w:line="540" w:lineRule="exact"/>
        <w:ind w:firstLine="640"/>
        <w:jc w:val="left"/>
        <w:rPr>
          <w:rFonts w:ascii="仿宋_GB2312" w:hAnsi="仿宋" w:eastAsia="仿宋_GB2312"/>
          <w:b/>
          <w:color w:val="FF0000"/>
          <w:sz w:val="32"/>
          <w:szCs w:val="32"/>
        </w:rPr>
      </w:pPr>
      <w:r>
        <w:rPr>
          <w:rFonts w:hint="eastAsia" w:ascii="仿宋_GB2312" w:hAnsi="仿宋" w:eastAsia="仿宋_GB2312"/>
          <w:color w:val="000000"/>
          <w:sz w:val="32"/>
          <w:szCs w:val="32"/>
        </w:rPr>
        <w:t>1.“待验证”的考生原须在2020年2月20日前将学历认证报告（或电子注册备案表）原件及复印件（验核原件后退回考生）提交至我校报名点。现调整为：考生须将学历认证报告（或电子注册备案表）上传至“广东省2020年本科插班生报名系统”，由我校审核，</w:t>
      </w:r>
      <w:r>
        <w:rPr>
          <w:rFonts w:hint="eastAsia" w:ascii="仿宋_GB2312" w:hAnsi="仿宋" w:eastAsia="仿宋_GB2312"/>
          <w:b/>
          <w:color w:val="000000"/>
          <w:sz w:val="32"/>
          <w:szCs w:val="32"/>
          <w:u w:val="single"/>
        </w:rPr>
        <w:t>上传截止时间为我省2020年本科插班生招生考试开始日期前10天。</w:t>
      </w:r>
    </w:p>
    <w:p>
      <w:pPr>
        <w:widowControl/>
        <w:snapToGrid w:val="0"/>
        <w:spacing w:line="540" w:lineRule="exact"/>
        <w:ind w:firstLine="640"/>
        <w:jc w:val="left"/>
        <w:rPr>
          <w:rFonts w:ascii="仿宋_GB2312" w:hAnsi="仿宋" w:eastAsia="仿宋_GB2312"/>
          <w:color w:val="000000"/>
          <w:sz w:val="32"/>
          <w:szCs w:val="32"/>
        </w:rPr>
      </w:pPr>
      <w:r>
        <w:rPr>
          <w:rFonts w:hint="eastAsia" w:ascii="仿宋_GB2312" w:hAnsi="仿宋" w:eastAsia="仿宋_GB2312"/>
          <w:color w:val="000000"/>
          <w:sz w:val="32"/>
          <w:szCs w:val="32"/>
        </w:rPr>
        <w:t>2.报名系统中“自考毕业情况验证”的结果为“通过”的自学考试考生，原须于2020年4月15日前将自学考试毕业证书和学历认证报告（或电子注册备案表）原件与复印件（验核原件后退回考生）提交至报考招生院校。调整为：报名系统中“自考毕业情况验证”的结果为“通过”的自学考试考生，不需要再提交自学考试毕业证书和学历认证报告（或电子注册备案表）。</w:t>
      </w:r>
    </w:p>
    <w:p>
      <w:pPr>
        <w:snapToGrid w:val="0"/>
        <w:spacing w:line="54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三、原未报名考生补报名方式、时间及报考费</w:t>
      </w:r>
    </w:p>
    <w:p>
      <w:pPr>
        <w:snapToGrid w:val="0"/>
        <w:spacing w:line="540" w:lineRule="exact"/>
        <w:ind w:firstLine="640" w:firstLineChars="200"/>
        <w:rPr>
          <w:rFonts w:ascii="仿宋_GB2312" w:hAnsi="仿宋" w:eastAsia="仿宋_GB2312"/>
          <w:b/>
          <w:bCs/>
          <w:color w:val="000000"/>
          <w:sz w:val="32"/>
          <w:szCs w:val="32"/>
          <w:u w:val="single"/>
        </w:rPr>
      </w:pPr>
      <w:r>
        <w:rPr>
          <w:rFonts w:hint="eastAsia" w:ascii="仿宋_GB2312" w:hAnsi="仿宋" w:eastAsia="仿宋_GB2312"/>
          <w:color w:val="000000"/>
          <w:sz w:val="32"/>
          <w:szCs w:val="32"/>
        </w:rPr>
        <w:t>2020年本科插班生补报名实行网上预报名、网上审核和网上交费。网上预报名时间为</w:t>
      </w:r>
      <w:r>
        <w:rPr>
          <w:rFonts w:hint="eastAsia" w:ascii="仿宋_GB2312" w:hAnsi="仿宋" w:eastAsia="仿宋_GB2312"/>
          <w:b/>
          <w:bCs/>
          <w:color w:val="000000"/>
          <w:sz w:val="32"/>
          <w:szCs w:val="32"/>
          <w:u w:val="single"/>
        </w:rPr>
        <w:t>2020年3月25日至28日</w:t>
      </w:r>
      <w:r>
        <w:rPr>
          <w:rFonts w:hint="eastAsia" w:ascii="仿宋_GB2312" w:hAnsi="仿宋" w:eastAsia="仿宋_GB2312"/>
          <w:color w:val="000000"/>
          <w:sz w:val="32"/>
          <w:szCs w:val="32"/>
        </w:rPr>
        <w:t>；</w:t>
      </w:r>
      <w:r>
        <w:rPr>
          <w:rFonts w:hint="eastAsia" w:ascii="仿宋_GB2312" w:hAnsi="仿宋" w:eastAsia="仿宋_GB2312"/>
          <w:b/>
          <w:bCs/>
          <w:color w:val="000000"/>
          <w:sz w:val="32"/>
          <w:szCs w:val="32"/>
        </w:rPr>
        <w:t>考生提交预报名资料的48小时内，我校完成资料审核，</w:t>
      </w:r>
      <w:r>
        <w:rPr>
          <w:rFonts w:hint="eastAsia" w:ascii="仿宋_GB2312" w:hAnsi="仿宋" w:eastAsia="仿宋_GB2312"/>
          <w:color w:val="000000"/>
          <w:sz w:val="32"/>
          <w:szCs w:val="32"/>
        </w:rPr>
        <w:t>考生可登录系统查看报名资格审核结果，审核结果为“通过”或“待验证”的考生可以交费；</w:t>
      </w:r>
      <w:r>
        <w:rPr>
          <w:rFonts w:hint="eastAsia" w:ascii="仿宋_GB2312" w:hAnsi="仿宋" w:eastAsia="仿宋_GB2312"/>
          <w:b/>
          <w:bCs/>
          <w:color w:val="000000"/>
          <w:sz w:val="32"/>
          <w:szCs w:val="32"/>
          <w:u w:val="single"/>
        </w:rPr>
        <w:t>网上交费截止时间为3月31日17:00。</w:t>
      </w:r>
    </w:p>
    <w:p>
      <w:pPr>
        <w:snapToGrid w:val="0"/>
        <w:spacing w:line="540" w:lineRule="exact"/>
        <w:ind w:firstLine="643" w:firstLineChars="200"/>
        <w:rPr>
          <w:rFonts w:ascii="仿宋_GB2312" w:hAnsi="仿宋" w:eastAsia="仿宋_GB2312"/>
          <w:color w:val="000000"/>
          <w:sz w:val="32"/>
          <w:szCs w:val="32"/>
        </w:rPr>
      </w:pPr>
      <w:r>
        <w:rPr>
          <w:rFonts w:hint="eastAsia" w:ascii="仿宋_GB2312" w:hAnsi="仿宋" w:eastAsia="仿宋_GB2312"/>
          <w:b/>
          <w:bCs/>
          <w:sz w:val="32"/>
          <w:szCs w:val="32"/>
        </w:rPr>
        <w:t>报考我校的考生不得报考其他院校，但可填报我校同一专业的最多3个不同教学点专业志愿，增加“是否服从调剂到同一专业其他教学点”选项；</w:t>
      </w:r>
      <w:r>
        <w:rPr>
          <w:rFonts w:hint="eastAsia" w:ascii="仿宋_GB2312" w:hAnsi="仿宋" w:eastAsia="仿宋_GB2312"/>
          <w:sz w:val="32"/>
          <w:szCs w:val="32"/>
        </w:rPr>
        <w:t>所报考的专业必须与考生原就读的专科专业相对应，具体见附件一</w:t>
      </w:r>
      <w:r>
        <w:rPr>
          <w:rFonts w:hint="eastAsia" w:ascii="仿宋_GB2312" w:hAnsi="仿宋" w:eastAsia="仿宋_GB2312"/>
          <w:color w:val="000000"/>
          <w:sz w:val="32"/>
          <w:szCs w:val="32"/>
        </w:rPr>
        <w:t>。</w:t>
      </w:r>
    </w:p>
    <w:p>
      <w:pPr>
        <w:snapToGrid w:val="0"/>
        <w:spacing w:line="540" w:lineRule="exact"/>
        <w:ind w:firstLine="640" w:firstLineChars="200"/>
        <w:outlineLvl w:val="0"/>
        <w:rPr>
          <w:rFonts w:ascii="楷体_GB2312" w:hAnsi="楷体" w:eastAsia="楷体_GB2312"/>
          <w:bCs/>
          <w:color w:val="000000"/>
          <w:sz w:val="32"/>
          <w:szCs w:val="32"/>
        </w:rPr>
      </w:pPr>
      <w:r>
        <w:rPr>
          <w:rFonts w:hint="eastAsia" w:ascii="楷体_GB2312" w:hAnsi="楷体" w:eastAsia="楷体_GB2312"/>
          <w:bCs/>
          <w:color w:val="000000"/>
          <w:sz w:val="32"/>
          <w:szCs w:val="32"/>
        </w:rPr>
        <w:t>（一）报名方式</w:t>
      </w:r>
    </w:p>
    <w:p>
      <w:pPr>
        <w:snapToGrid w:val="0"/>
        <w:spacing w:line="540" w:lineRule="exact"/>
        <w:ind w:firstLine="640" w:firstLineChars="200"/>
        <w:outlineLvl w:val="0"/>
        <w:rPr>
          <w:rFonts w:ascii="仿宋_GB2312" w:hAnsi="仿宋" w:eastAsia="仿宋_GB2312"/>
          <w:b/>
          <w:bCs/>
          <w:color w:val="000000"/>
          <w:sz w:val="32"/>
          <w:szCs w:val="32"/>
        </w:rPr>
      </w:pPr>
      <w:r>
        <w:rPr>
          <w:rFonts w:hint="eastAsia" w:ascii="仿宋_GB2312" w:hAnsi="仿宋" w:eastAsia="仿宋_GB2312"/>
          <w:color w:val="000000"/>
          <w:sz w:val="32"/>
          <w:szCs w:val="32"/>
        </w:rPr>
        <w:t>考生须在规定时间内通过网上报名系统报名。具体如下：</w:t>
      </w:r>
    </w:p>
    <w:p>
      <w:pPr>
        <w:numPr>
          <w:ilvl w:val="0"/>
          <w:numId w:val="1"/>
        </w:numPr>
        <w:snapToGrid w:val="0"/>
        <w:spacing w:line="540" w:lineRule="exact"/>
        <w:ind w:firstLine="643" w:firstLineChars="200"/>
        <w:outlineLvl w:val="0"/>
        <w:rPr>
          <w:rFonts w:ascii="仿宋_GB2312" w:hAnsi="仿宋" w:eastAsia="仿宋_GB2312"/>
          <w:b/>
          <w:bCs/>
          <w:color w:val="000000"/>
          <w:sz w:val="32"/>
          <w:szCs w:val="32"/>
        </w:rPr>
      </w:pPr>
      <w:r>
        <w:rPr>
          <w:rFonts w:hint="eastAsia" w:ascii="仿宋_GB2312" w:hAnsi="仿宋" w:eastAsia="仿宋_GB2312"/>
          <w:b/>
          <w:bCs/>
          <w:color w:val="000000"/>
          <w:sz w:val="32"/>
          <w:szCs w:val="32"/>
        </w:rPr>
        <w:t>预报名。</w:t>
      </w:r>
      <w:r>
        <w:rPr>
          <w:rFonts w:hint="eastAsia" w:ascii="仿宋_GB2312" w:hAnsi="仿宋" w:eastAsia="仿宋_GB2312"/>
          <w:color w:val="000000"/>
          <w:sz w:val="32"/>
          <w:szCs w:val="32"/>
        </w:rPr>
        <w:t>2020年3月25日至28日（共4天）为网上预报名时间，考生通过互联网登录</w:t>
      </w:r>
      <w:r>
        <w:rPr>
          <w:rFonts w:hint="eastAsia" w:ascii="仿宋_GB2312" w:hAnsi="仿宋" w:eastAsia="仿宋_GB2312" w:cs="仿宋"/>
          <w:sz w:val="32"/>
          <w:szCs w:val="32"/>
        </w:rPr>
        <w:t>“广东省2020年本科插班生报名系统”（网址：http://www.eeagd.edu.cn/bcks）</w:t>
      </w:r>
      <w:r>
        <w:rPr>
          <w:rFonts w:hint="eastAsia" w:ascii="仿宋_GB2312" w:hAnsi="仿宋" w:eastAsia="仿宋_GB2312"/>
          <w:color w:val="000000"/>
          <w:sz w:val="32"/>
          <w:szCs w:val="32"/>
        </w:rPr>
        <w:t>进行预报名，阅读相关报考规定、要求，签订《诚信考试承诺书》，录入报名信息，绑定手机号，关注省教育考试院官微（gdsksy）小程序采集相片，上传资料，获取预报名号并设定密码。</w:t>
      </w:r>
      <w:r>
        <w:rPr>
          <w:rFonts w:hint="eastAsia" w:ascii="仿宋_GB2312" w:hAnsi="仿宋" w:eastAsia="仿宋_GB2312"/>
          <w:b/>
          <w:bCs/>
          <w:color w:val="000000"/>
          <w:sz w:val="32"/>
          <w:szCs w:val="32"/>
        </w:rPr>
        <w:t xml:space="preserve">逾期不再办理预报名手续。   </w:t>
      </w:r>
    </w:p>
    <w:p>
      <w:pPr>
        <w:snapToGrid w:val="0"/>
        <w:spacing w:line="540" w:lineRule="exact"/>
        <w:outlineLvl w:val="0"/>
        <w:rPr>
          <w:rFonts w:ascii="仿宋_GB2312" w:hAnsi="仿宋" w:eastAsia="仿宋_GB2312"/>
          <w:b/>
          <w:bCs/>
          <w:color w:val="000000"/>
          <w:sz w:val="32"/>
          <w:szCs w:val="32"/>
        </w:rPr>
      </w:pPr>
      <w:r>
        <w:rPr>
          <w:rFonts w:hint="eastAsia" w:ascii="仿宋_GB2312" w:hAnsi="仿宋" w:eastAsia="仿宋_GB2312"/>
          <w:b/>
          <w:bCs/>
          <w:color w:val="000000"/>
          <w:sz w:val="32"/>
          <w:szCs w:val="32"/>
        </w:rPr>
        <w:t xml:space="preserve">    </w:t>
      </w:r>
      <w:r>
        <w:rPr>
          <w:rFonts w:hint="eastAsia" w:ascii="仿宋_GB2312" w:hAnsi="仿宋" w:eastAsia="仿宋_GB2312"/>
          <w:color w:val="000000"/>
          <w:sz w:val="32"/>
          <w:szCs w:val="32"/>
        </w:rPr>
        <w:t>（1）考生须自行进行在线专科学历学籍验证。</w:t>
      </w:r>
      <w:r>
        <w:rPr>
          <w:rFonts w:hint="eastAsia" w:ascii="仿宋_GB2312" w:hAnsi="仿宋" w:eastAsia="仿宋_GB2312"/>
          <w:b/>
          <w:bCs/>
          <w:color w:val="000000"/>
          <w:sz w:val="32"/>
          <w:szCs w:val="32"/>
        </w:rPr>
        <w:t>已取得专科毕业证书的往届考生，</w:t>
      </w:r>
      <w:r>
        <w:rPr>
          <w:rFonts w:hint="eastAsia" w:ascii="仿宋_GB2312" w:hAnsi="仿宋" w:eastAsia="仿宋_GB2312"/>
          <w:color w:val="000000"/>
          <w:sz w:val="32"/>
          <w:szCs w:val="32"/>
        </w:rPr>
        <w:t>在网上报名时须在报名系统“专科学历验证”模块输入专科毕业证书信息，进行专科学历验证，由系统反馈验证结果。验证结果分“通过”和“不通过”两种。学历验证结果为“不通过”的考生，考生须自行前往学信网（https://www.chsi.com.cn/xlrz/index.jsp）网上申请专科学历认证。</w:t>
      </w:r>
      <w:r>
        <w:rPr>
          <w:rFonts w:hint="eastAsia" w:ascii="仿宋_GB2312" w:hAnsi="仿宋" w:eastAsia="仿宋_GB2312"/>
          <w:b/>
          <w:bCs/>
          <w:color w:val="000000"/>
          <w:sz w:val="32"/>
          <w:szCs w:val="32"/>
        </w:rPr>
        <w:t>尚未取得专科毕业证书的普通高校应届专科毕业生，</w:t>
      </w:r>
      <w:r>
        <w:rPr>
          <w:rFonts w:hint="eastAsia" w:ascii="仿宋_GB2312" w:hAnsi="仿宋" w:eastAsia="仿宋_GB2312"/>
          <w:color w:val="000000"/>
          <w:sz w:val="32"/>
          <w:szCs w:val="32"/>
        </w:rPr>
        <w:t>在网上报名时须在报名系统“专科学籍查验”模块输入本人身份证号码和姓名等信息，进行专科学籍查验，由系统反馈验证结果。验证结果分“通过”和“不通过”两种。</w:t>
      </w:r>
      <w:r>
        <w:rPr>
          <w:rFonts w:hint="eastAsia" w:ascii="仿宋_GB2312" w:hAnsi="仿宋" w:eastAsia="仿宋_GB2312"/>
          <w:b/>
          <w:color w:val="000000"/>
          <w:sz w:val="32"/>
          <w:szCs w:val="32"/>
        </w:rPr>
        <w:t>学籍查验“不通过”的考生，</w:t>
      </w:r>
      <w:r>
        <w:rPr>
          <w:rFonts w:hint="eastAsia" w:ascii="仿宋_GB2312" w:hAnsi="仿宋" w:eastAsia="仿宋_GB2312"/>
          <w:b/>
          <w:bCs/>
          <w:color w:val="000000"/>
          <w:sz w:val="32"/>
          <w:szCs w:val="32"/>
        </w:rPr>
        <w:t>不予报考。</w:t>
      </w:r>
    </w:p>
    <w:p>
      <w:pPr>
        <w:snapToGrid w:val="0"/>
        <w:spacing w:line="540" w:lineRule="exact"/>
        <w:ind w:firstLine="640"/>
        <w:outlineLvl w:val="0"/>
        <w:rPr>
          <w:rFonts w:ascii="仿宋_GB2312" w:hAnsi="仿宋" w:eastAsia="仿宋_GB2312"/>
          <w:color w:val="000000"/>
          <w:sz w:val="32"/>
          <w:szCs w:val="32"/>
        </w:rPr>
      </w:pPr>
      <w:r>
        <w:rPr>
          <w:rFonts w:hint="eastAsia" w:ascii="仿宋_GB2312" w:hAnsi="仿宋" w:eastAsia="仿宋_GB2312"/>
          <w:color w:val="000000"/>
          <w:sz w:val="32"/>
          <w:szCs w:val="32"/>
        </w:rPr>
        <w:t>考生在报名前可以根据本人专科毕业的实际情况提前办理学历认证报告。具体验证方式详见附件4。</w:t>
      </w:r>
    </w:p>
    <w:p>
      <w:pPr>
        <w:snapToGrid w:val="0"/>
        <w:spacing w:line="540" w:lineRule="exact"/>
        <w:ind w:firstLine="640"/>
        <w:outlineLvl w:val="0"/>
        <w:rPr>
          <w:rFonts w:ascii="仿宋_GB2312" w:hAnsi="仿宋" w:eastAsia="仿宋_GB2312"/>
          <w:color w:val="000000"/>
          <w:sz w:val="32"/>
          <w:szCs w:val="32"/>
        </w:rPr>
      </w:pPr>
      <w:r>
        <w:rPr>
          <w:rFonts w:hint="eastAsia" w:ascii="仿宋_GB2312" w:hAnsi="仿宋" w:eastAsia="仿宋_GB2312"/>
          <w:color w:val="000000"/>
          <w:sz w:val="32"/>
          <w:szCs w:val="32"/>
        </w:rPr>
        <w:t>（2）就读广东省普通高校的应届专科毕业生。预报名时只须自行进行在线专科学籍验证，我校根据系统反馈验证结果信息进行审核。</w:t>
      </w:r>
    </w:p>
    <w:p>
      <w:pPr>
        <w:snapToGrid w:val="0"/>
        <w:spacing w:line="540" w:lineRule="exact"/>
        <w:ind w:firstLine="640"/>
        <w:outlineLvl w:val="0"/>
        <w:rPr>
          <w:rFonts w:ascii="仿宋_GB2312" w:hAnsi="仿宋" w:eastAsia="仿宋_GB2312"/>
          <w:color w:val="000000"/>
          <w:sz w:val="32"/>
          <w:szCs w:val="32"/>
        </w:rPr>
      </w:pPr>
      <w:r>
        <w:rPr>
          <w:rFonts w:hint="eastAsia" w:ascii="仿宋_GB2312" w:hAnsi="仿宋" w:eastAsia="仿宋_GB2312"/>
          <w:color w:val="000000"/>
          <w:sz w:val="32"/>
          <w:szCs w:val="32"/>
        </w:rPr>
        <w:t>（3）在广东省参加普通高考，就读外省普通高校的应届专科毕业生。预报名时须自行进行在线专科学籍验证，在填报信息获取预报名号后，</w:t>
      </w:r>
      <w:r>
        <w:rPr>
          <w:rFonts w:hint="eastAsia" w:ascii="仿宋_GB2312" w:hAnsi="仿宋" w:eastAsia="仿宋_GB2312"/>
          <w:b/>
          <w:bCs/>
          <w:color w:val="000000"/>
          <w:sz w:val="32"/>
          <w:szCs w:val="32"/>
        </w:rPr>
        <w:t>还须在专科学历学籍验证界面上点击“验证专科录取信息”按钮进行普通高校专科录取信息验证，</w:t>
      </w:r>
      <w:r>
        <w:rPr>
          <w:rFonts w:hint="eastAsia" w:ascii="仿宋_GB2312" w:hAnsi="仿宋" w:eastAsia="仿宋_GB2312"/>
          <w:color w:val="000000"/>
          <w:sz w:val="32"/>
          <w:szCs w:val="32"/>
        </w:rPr>
        <w:t>由系统反馈验证结果。验证结果分“通过”和“不通过”两种，验证结果为“通过”的考生，我校根据系统反馈验证结果信息进行审核。验证结果为“不通过”的考生（考生报考的姓名、身份证号与专科录取时的不相符），请自行咨询广东省教育考试院，联系电话：020-89338633。</w:t>
      </w:r>
    </w:p>
    <w:p>
      <w:pPr>
        <w:snapToGrid w:val="0"/>
        <w:spacing w:line="540" w:lineRule="exact"/>
        <w:outlineLvl w:val="0"/>
        <w:rPr>
          <w:rFonts w:ascii="仿宋_GB2312" w:hAnsi="仿宋" w:eastAsia="仿宋_GB2312"/>
          <w:color w:val="000000"/>
          <w:sz w:val="32"/>
          <w:szCs w:val="32"/>
        </w:rPr>
      </w:pPr>
      <w:r>
        <w:rPr>
          <w:rFonts w:hint="eastAsia" w:ascii="仿宋_GB2312" w:hAnsi="仿宋" w:eastAsia="仿宋_GB2312"/>
          <w:color w:val="000000"/>
          <w:sz w:val="32"/>
          <w:szCs w:val="32"/>
        </w:rPr>
        <w:t xml:space="preserve">   （4）参加自学考试且已获得专业考试计划规定的全部课程合格成绩，符合毕业条件，已成功办理2019年12月毕业手续，但未领取毕业证书的自学考试毕业生可以报考，在预报名时填报信息获取预报名号后，点击“自考毕业情况验证”，由系统反馈验证结果。验证结果分“通过”和“不通过”两种，验证结果为“通过”的考生才能上传报名资料供我校审核，</w:t>
      </w:r>
      <w:r>
        <w:rPr>
          <w:rFonts w:hint="eastAsia" w:ascii="仿宋_GB2312" w:hAnsi="仿宋" w:eastAsia="仿宋_GB2312"/>
          <w:b/>
          <w:color w:val="000000"/>
          <w:sz w:val="32"/>
          <w:szCs w:val="32"/>
        </w:rPr>
        <w:t>验证结果为“不通过”的考生，</w:t>
      </w:r>
      <w:r>
        <w:rPr>
          <w:rFonts w:hint="eastAsia" w:ascii="仿宋_GB2312" w:hAnsi="仿宋" w:eastAsia="仿宋_GB2312"/>
          <w:b/>
          <w:bCs/>
          <w:color w:val="000000"/>
          <w:sz w:val="32"/>
          <w:szCs w:val="32"/>
        </w:rPr>
        <w:t>不予报考。</w:t>
      </w:r>
      <w:r>
        <w:rPr>
          <w:rFonts w:hint="eastAsia" w:ascii="仿宋_GB2312" w:hAnsi="仿宋" w:eastAsia="仿宋_GB2312"/>
          <w:color w:val="000000"/>
          <w:sz w:val="32"/>
          <w:szCs w:val="32"/>
        </w:rPr>
        <w:t>有疑问的请咨询广东省教育考试院，电话：020-89338633。</w:t>
      </w:r>
    </w:p>
    <w:p>
      <w:pPr>
        <w:snapToGrid w:val="0"/>
        <w:spacing w:line="540" w:lineRule="exact"/>
        <w:outlineLvl w:val="0"/>
        <w:rPr>
          <w:rFonts w:ascii="仿宋_GB2312" w:hAnsi="仿宋" w:eastAsia="仿宋_GB2312"/>
          <w:color w:val="FF0000"/>
          <w:sz w:val="32"/>
          <w:szCs w:val="32"/>
        </w:rPr>
      </w:pPr>
      <w:r>
        <w:rPr>
          <w:rFonts w:hint="eastAsia" w:ascii="仿宋_GB2312" w:hAnsi="仿宋" w:eastAsia="仿宋_GB2312"/>
          <w:color w:val="000000"/>
          <w:sz w:val="32"/>
          <w:szCs w:val="32"/>
        </w:rPr>
        <w:t xml:space="preserve">   （5）</w:t>
      </w:r>
      <w:r>
        <w:rPr>
          <w:rFonts w:hint="eastAsia" w:ascii="仿宋_GB2312" w:hAnsi="仿宋" w:eastAsia="仿宋_GB2312"/>
          <w:sz w:val="32"/>
          <w:szCs w:val="32"/>
        </w:rPr>
        <w:t>考生须将以下资料</w:t>
      </w:r>
      <w:r>
        <w:rPr>
          <w:rFonts w:hint="eastAsia" w:ascii="仿宋_GB2312" w:hAnsi="仿宋" w:eastAsia="仿宋_GB2312"/>
          <w:b/>
          <w:bCs/>
          <w:sz w:val="32"/>
          <w:szCs w:val="32"/>
        </w:rPr>
        <w:t>扫描或拍照</w:t>
      </w:r>
      <w:r>
        <w:rPr>
          <w:rFonts w:hint="eastAsia" w:ascii="仿宋_GB2312" w:hAnsi="仿宋" w:eastAsia="仿宋_GB2312"/>
          <w:sz w:val="32"/>
          <w:szCs w:val="32"/>
        </w:rPr>
        <w:t>上传至“广东省2020年本科插班生报名系统”（</w:t>
      </w:r>
      <w:r>
        <w:rPr>
          <w:rFonts w:hint="eastAsia" w:ascii="仿宋_GB2312" w:hAnsi="仿宋" w:eastAsia="仿宋_GB2312"/>
          <w:b/>
          <w:bCs/>
          <w:sz w:val="32"/>
          <w:szCs w:val="32"/>
        </w:rPr>
        <w:t>须确保资料真实、完整、清晰</w:t>
      </w:r>
      <w:r>
        <w:rPr>
          <w:rFonts w:hint="eastAsia" w:ascii="仿宋_GB2312" w:hAnsi="仿宋" w:eastAsia="仿宋_GB2312"/>
          <w:sz w:val="32"/>
          <w:szCs w:val="32"/>
        </w:rPr>
        <w:t>），供我校审核：</w:t>
      </w:r>
    </w:p>
    <w:p>
      <w:pPr>
        <w:snapToGrid w:val="0"/>
        <w:spacing w:line="540" w:lineRule="exact"/>
        <w:ind w:firstLine="640"/>
        <w:outlineLvl w:val="0"/>
        <w:rPr>
          <w:rFonts w:ascii="仿宋_GB2312" w:hAnsi="仿宋" w:eastAsia="仿宋_GB2312"/>
          <w:color w:val="000000"/>
          <w:sz w:val="32"/>
          <w:szCs w:val="32"/>
        </w:rPr>
      </w:pPr>
      <w:r>
        <w:rPr>
          <w:rFonts w:hint="eastAsia" w:ascii="仿宋_GB2312" w:hAnsi="仿宋" w:eastAsia="仿宋_GB2312"/>
          <w:color w:val="000000"/>
          <w:sz w:val="32"/>
          <w:szCs w:val="32"/>
        </w:rPr>
        <w:t>1）已取得专科毕业证的考生：①户口本（本人姓名页）；②考生报名时，报名系统学历验证结果为“不通过”的，考生必须上传专科毕业证书和中国高等教育学历认证报告（或教育部学历证书电子注册备案表）（以下简称学历认证报告、电子注册备案表）。</w:t>
      </w:r>
    </w:p>
    <w:p>
      <w:pPr>
        <w:snapToGrid w:val="0"/>
        <w:spacing w:line="540" w:lineRule="exact"/>
        <w:outlineLvl w:val="0"/>
        <w:rPr>
          <w:rFonts w:ascii="仿宋_GB2312" w:hAnsi="仿宋" w:eastAsia="仿宋_GB2312"/>
          <w:color w:val="000000"/>
          <w:sz w:val="32"/>
          <w:szCs w:val="32"/>
        </w:rPr>
      </w:pPr>
      <w:r>
        <w:rPr>
          <w:rFonts w:hint="eastAsia" w:ascii="仿宋_GB2312" w:hAnsi="仿宋" w:eastAsia="仿宋_GB2312"/>
          <w:color w:val="000000"/>
          <w:sz w:val="32"/>
          <w:szCs w:val="32"/>
        </w:rPr>
        <w:t xml:space="preserve">    2）参加自学考试且已获得专业考试计划规定的全部课程合格成绩，符合毕业条件，已成功办理2019年12月毕业手续，但未领取毕业证书的自学考试毕业生，在报名系统中“自考毕业情况验证”结果为“通过”的考生：户口本（本人姓名页）。</w:t>
      </w:r>
    </w:p>
    <w:p>
      <w:pPr>
        <w:snapToGrid w:val="0"/>
        <w:spacing w:line="540" w:lineRule="exact"/>
        <w:outlineLvl w:val="0"/>
        <w:rPr>
          <w:rFonts w:ascii="仿宋_GB2312" w:hAnsi="仿宋" w:eastAsia="仿宋_GB2312"/>
          <w:color w:val="000000"/>
          <w:sz w:val="32"/>
          <w:szCs w:val="32"/>
        </w:rPr>
      </w:pPr>
      <w:r>
        <w:rPr>
          <w:rFonts w:hint="eastAsia" w:ascii="仿宋_GB2312" w:hAnsi="仿宋" w:eastAsia="仿宋_GB2312"/>
          <w:color w:val="000000"/>
          <w:sz w:val="32"/>
          <w:szCs w:val="32"/>
        </w:rPr>
        <w:t xml:space="preserve">    3）服义务兵役退役的普通高校专科毕业生：除上述第1）点所涉及的有关往届的报名资料外，还须上传:①专科毕业证书（往届）；②义务兵退出现役证；③服义务兵役期间荣立三等功及以上奖励的高职（专科）退役士兵考生，须上传立功登记表、立功证书等证明材料。</w:t>
      </w:r>
    </w:p>
    <w:p>
      <w:pPr>
        <w:snapToGrid w:val="0"/>
        <w:spacing w:line="540" w:lineRule="exact"/>
        <w:outlineLvl w:val="0"/>
        <w:rPr>
          <w:rFonts w:ascii="仿宋_GB2312" w:hAnsi="仿宋" w:eastAsia="仿宋_GB2312"/>
          <w:color w:val="000000"/>
          <w:sz w:val="32"/>
          <w:szCs w:val="32"/>
        </w:rPr>
      </w:pPr>
      <w:r>
        <w:rPr>
          <w:rFonts w:hint="eastAsia" w:ascii="仿宋_GB2312" w:hAnsi="仿宋" w:eastAsia="仿宋_GB2312"/>
          <w:color w:val="000000"/>
          <w:sz w:val="32"/>
          <w:szCs w:val="32"/>
        </w:rPr>
        <w:t xml:space="preserve">    4）审核资料。考生上传的资料由我校在网上进行审核，我校在考生提交审核后48小时之内完成审核，审核结果分为“通过”、“待验证”和“不通过”3种（不通过的，需填写不通过原因），3月30日前完成所有预报名考生资料审核。</w:t>
      </w:r>
    </w:p>
    <w:p>
      <w:pPr>
        <w:snapToGrid w:val="0"/>
        <w:spacing w:line="540" w:lineRule="exact"/>
        <w:ind w:firstLine="640"/>
        <w:outlineLvl w:val="0"/>
        <w:rPr>
          <w:rFonts w:ascii="仿宋_GB2312" w:hAnsi="仿宋" w:eastAsia="仿宋_GB2312"/>
          <w:b/>
          <w:bCs/>
          <w:color w:val="000000"/>
          <w:sz w:val="32"/>
          <w:szCs w:val="32"/>
        </w:rPr>
      </w:pPr>
      <w:r>
        <w:rPr>
          <w:rFonts w:hint="eastAsia" w:ascii="仿宋_GB2312" w:hAnsi="仿宋" w:eastAsia="仿宋_GB2312"/>
          <w:color w:val="000000"/>
          <w:sz w:val="32"/>
          <w:szCs w:val="32"/>
        </w:rPr>
        <w:t>5）考生预报名时学历验证结果为“不通过”，且在报名期间还未获得学历认证报告（或电子注册备案表）的考生。考生可选择“申请补学历认证报告”，阅读并签订“补报资料承诺书”后，我校将考生设置为“待验证”，设置为“待验证”的考生可以交费。考生须将学历认证报告（或电子注册备案表）上传至“广东省2020年本科插班生报名系统”，由我校审核，</w:t>
      </w:r>
      <w:r>
        <w:rPr>
          <w:rFonts w:hint="eastAsia" w:ascii="仿宋_GB2312" w:hAnsi="仿宋" w:eastAsia="仿宋_GB2312"/>
          <w:b/>
          <w:color w:val="000000"/>
          <w:sz w:val="32"/>
          <w:szCs w:val="32"/>
        </w:rPr>
        <w:t>上传截止时间为我省2020年本科插班生招生考试开始日期前10天。</w:t>
      </w:r>
      <w:r>
        <w:rPr>
          <w:rFonts w:hint="eastAsia" w:ascii="仿宋_GB2312" w:hAnsi="仿宋" w:eastAsia="仿宋_GB2312"/>
          <w:color w:val="000000"/>
          <w:sz w:val="32"/>
          <w:szCs w:val="32"/>
        </w:rPr>
        <w:t>原则上我校按考生上传的电子数据审核，确需审核资料原件的，将提前在规定时间内通知考生将资料原件邮寄至我校审核。</w:t>
      </w:r>
      <w:r>
        <w:rPr>
          <w:rFonts w:hint="eastAsia" w:ascii="仿宋_GB2312" w:hAnsi="仿宋" w:eastAsia="仿宋_GB2312"/>
          <w:b/>
          <w:bCs/>
          <w:color w:val="000000"/>
          <w:sz w:val="32"/>
          <w:szCs w:val="32"/>
        </w:rPr>
        <w:t>逾期未提交或未按我校要求邮寄学历认证报告（或电子注册备案表）等资料的考生，将被取消报考资格,不予打印准考证,不安排考试。</w:t>
      </w:r>
    </w:p>
    <w:p>
      <w:pPr>
        <w:snapToGrid w:val="0"/>
        <w:spacing w:line="540" w:lineRule="exact"/>
        <w:outlineLvl w:val="0"/>
        <w:rPr>
          <w:rFonts w:ascii="仿宋_GB2312" w:hAnsi="仿宋" w:eastAsia="仿宋_GB2312"/>
          <w:color w:val="FF0000"/>
          <w:sz w:val="32"/>
          <w:szCs w:val="32"/>
        </w:rPr>
      </w:pPr>
      <w:r>
        <w:rPr>
          <w:rFonts w:hint="eastAsia" w:ascii="仿宋_GB2312" w:hAnsi="仿宋" w:eastAsia="仿宋_GB2312"/>
          <w:color w:val="000000"/>
          <w:sz w:val="32"/>
          <w:szCs w:val="32"/>
        </w:rPr>
        <w:t xml:space="preserve">     6）“广东省2020年本科插班生报名系统”中，“考生类别”中的“退役士兵”、“荣立三等功以上的退役士兵”选项，是指按教学厅〔2015〕3号文件精神，可以享受计划单列和免试入读本年度招收本科插班生的招生院校、专业政策的考生，考生必须按规定选择，并按规定上传相关资料。</w:t>
      </w:r>
    </w:p>
    <w:p>
      <w:pPr>
        <w:snapToGrid w:val="0"/>
        <w:spacing w:line="540" w:lineRule="exact"/>
        <w:ind w:left="643"/>
        <w:outlineLvl w:val="0"/>
        <w:rPr>
          <w:rFonts w:ascii="仿宋_GB2312" w:hAnsi="仿宋" w:eastAsia="仿宋_GB2312"/>
          <w:color w:val="000000"/>
          <w:sz w:val="32"/>
          <w:szCs w:val="32"/>
          <w:u w:val="single"/>
        </w:rPr>
      </w:pPr>
      <w:r>
        <w:rPr>
          <w:rFonts w:hint="eastAsia" w:ascii="仿宋_GB2312" w:hAnsi="仿宋" w:eastAsia="仿宋_GB2312"/>
          <w:b/>
          <w:bCs/>
          <w:color w:val="000000"/>
          <w:sz w:val="32"/>
          <w:szCs w:val="32"/>
        </w:rPr>
        <w:t>2.确认报名。</w:t>
      </w:r>
      <w:r>
        <w:rPr>
          <w:rFonts w:hint="eastAsia" w:ascii="仿宋_GB2312" w:hAnsi="仿宋" w:eastAsia="仿宋_GB2312"/>
          <w:color w:val="000000"/>
          <w:sz w:val="32"/>
          <w:szCs w:val="32"/>
          <w:u w:val="single"/>
        </w:rPr>
        <w:t>2020年3月31日17:00为报名交费截止时间。</w:t>
      </w:r>
    </w:p>
    <w:p>
      <w:pPr>
        <w:snapToGrid w:val="0"/>
        <w:spacing w:line="540" w:lineRule="exact"/>
        <w:rPr>
          <w:rFonts w:ascii="仿宋_GB2312" w:hAnsi="仿宋" w:eastAsia="仿宋_GB2312"/>
          <w:sz w:val="32"/>
          <w:szCs w:val="32"/>
        </w:rPr>
      </w:pPr>
      <w:r>
        <w:rPr>
          <w:rFonts w:hint="eastAsia" w:ascii="仿宋_GB2312" w:hAnsi="仿宋" w:eastAsia="仿宋_GB2312"/>
          <w:sz w:val="32"/>
          <w:szCs w:val="32"/>
        </w:rPr>
        <w:t xml:space="preserve">   （1）考生可通过报名系统自行查看招生院校的审核结果，审核结果为“通过”或“待验证”的考生须在规定的时间内进行网上交费，确认报名资格。</w:t>
      </w:r>
    </w:p>
    <w:p>
      <w:pPr>
        <w:snapToGrid w:val="0"/>
        <w:spacing w:line="540" w:lineRule="exact"/>
        <w:outlineLvl w:val="0"/>
        <w:rPr>
          <w:rFonts w:ascii="仿宋_GB2312" w:hAnsi="仿宋" w:eastAsia="仿宋_GB2312"/>
          <w:color w:val="000000"/>
          <w:sz w:val="32"/>
          <w:szCs w:val="32"/>
        </w:rPr>
      </w:pPr>
      <w:r>
        <w:rPr>
          <w:rFonts w:hint="eastAsia" w:ascii="仿宋_GB2312" w:hAnsi="仿宋" w:eastAsia="仿宋_GB2312"/>
          <w:sz w:val="32"/>
          <w:szCs w:val="32"/>
        </w:rPr>
        <w:t xml:space="preserve">   （2）报考费：200元/人。成功交费后将予以编排考场座位、打印准考证；</w:t>
      </w:r>
      <w:r>
        <w:rPr>
          <w:rFonts w:hint="eastAsia" w:ascii="仿宋_GB2312" w:hAnsi="仿宋" w:eastAsia="仿宋_GB2312"/>
          <w:b/>
          <w:bCs/>
          <w:color w:val="000000"/>
          <w:sz w:val="32"/>
          <w:szCs w:val="32"/>
        </w:rPr>
        <w:t>未交费的考生视为放弃报名资格。交费成功后因故不参加考试者，原则上不予退还报考费。</w:t>
      </w:r>
    </w:p>
    <w:p>
      <w:pPr>
        <w:snapToGrid w:val="0"/>
        <w:spacing w:line="540" w:lineRule="exact"/>
        <w:ind w:firstLine="640" w:firstLineChars="200"/>
        <w:outlineLvl w:val="0"/>
        <w:rPr>
          <w:rFonts w:ascii="楷体_GB2312" w:hAnsi="楷体" w:eastAsia="楷体_GB2312"/>
          <w:color w:val="000000"/>
          <w:sz w:val="32"/>
          <w:szCs w:val="32"/>
        </w:rPr>
      </w:pPr>
      <w:r>
        <w:rPr>
          <w:rFonts w:hint="eastAsia" w:ascii="楷体_GB2312" w:hAnsi="楷体" w:eastAsia="楷体_GB2312"/>
          <w:bCs/>
          <w:color w:val="000000"/>
          <w:sz w:val="32"/>
          <w:szCs w:val="32"/>
        </w:rPr>
        <w:t>（二）报名资料审核</w:t>
      </w:r>
    </w:p>
    <w:p>
      <w:pPr>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1．我校将按照报考规定对考生报名信息及考生上传的资料进行审核。</w:t>
      </w:r>
    </w:p>
    <w:p>
      <w:pPr>
        <w:widowControl/>
        <w:snapToGrid w:val="0"/>
        <w:spacing w:line="540" w:lineRule="exact"/>
        <w:ind w:firstLine="640" w:firstLineChars="200"/>
        <w:jc w:val="left"/>
        <w:rPr>
          <w:rFonts w:ascii="仿宋_GB2312" w:hAnsi="仿宋" w:eastAsia="仿宋_GB2312"/>
          <w:color w:val="000000"/>
          <w:sz w:val="32"/>
          <w:szCs w:val="32"/>
        </w:rPr>
      </w:pPr>
      <w:r>
        <w:rPr>
          <w:rFonts w:hint="eastAsia" w:ascii="仿宋_GB2312" w:hAnsi="仿宋" w:eastAsia="仿宋_GB2312"/>
          <w:color w:val="000000"/>
          <w:sz w:val="32"/>
          <w:szCs w:val="32"/>
        </w:rPr>
        <w:t>2．考生凭无效证件或其他不符合报考条件的证件报名的，何时发现，何时取消考生的录取资格。</w:t>
      </w:r>
    </w:p>
    <w:p>
      <w:pPr>
        <w:snapToGrid w:val="0"/>
        <w:spacing w:line="540" w:lineRule="exact"/>
        <w:ind w:firstLine="640" w:firstLineChars="200"/>
        <w:outlineLvl w:val="0"/>
        <w:rPr>
          <w:rFonts w:ascii="楷体_GB2312" w:hAnsi="楷体" w:eastAsia="楷体_GB2312"/>
          <w:bCs/>
          <w:color w:val="000000"/>
          <w:sz w:val="32"/>
          <w:szCs w:val="32"/>
        </w:rPr>
      </w:pPr>
      <w:r>
        <w:rPr>
          <w:rFonts w:hint="eastAsia" w:ascii="楷体_GB2312" w:hAnsi="楷体" w:eastAsia="楷体_GB2312"/>
          <w:bCs/>
          <w:color w:val="000000"/>
          <w:sz w:val="32"/>
          <w:szCs w:val="32"/>
        </w:rPr>
        <w:t>（三）体检表</w:t>
      </w:r>
    </w:p>
    <w:p>
      <w:pPr>
        <w:widowControl/>
        <w:snapToGrid w:val="0"/>
        <w:spacing w:line="540" w:lineRule="exact"/>
        <w:ind w:firstLine="640"/>
        <w:jc w:val="left"/>
        <w:rPr>
          <w:rFonts w:ascii="仿宋_GB2312" w:hAnsi="仿宋" w:eastAsia="仿宋_GB2312"/>
          <w:b/>
          <w:bCs/>
          <w:color w:val="000000"/>
          <w:sz w:val="32"/>
          <w:szCs w:val="32"/>
        </w:rPr>
      </w:pPr>
      <w:r>
        <w:rPr>
          <w:rFonts w:hint="eastAsia" w:ascii="仿宋_GB2312" w:hAnsi="仿宋" w:eastAsia="仿宋_GB2312"/>
          <w:color w:val="000000"/>
          <w:sz w:val="32"/>
          <w:szCs w:val="32"/>
        </w:rPr>
        <w:t>考生须依据《2020年广东省普通高校本科插班生招生体格检查表》（附件5）的规定，自行前往二级甲等（含）以上医院或相应的医疗单位进行体检，将体检结果上传至报名系统中（</w:t>
      </w:r>
      <w:r>
        <w:rPr>
          <w:rFonts w:hint="eastAsia" w:ascii="仿宋_GB2312" w:hAnsi="仿宋" w:eastAsia="仿宋_GB2312"/>
          <w:color w:val="000000"/>
          <w:sz w:val="32"/>
          <w:szCs w:val="32"/>
          <w:u w:val="single"/>
        </w:rPr>
        <w:t>体检表有效期：2019年12月9日至2020年本科插班生招生录取开始日期前10天</w:t>
      </w:r>
      <w:r>
        <w:rPr>
          <w:rFonts w:hint="eastAsia" w:ascii="仿宋_GB2312" w:hAnsi="仿宋" w:eastAsia="仿宋_GB2312"/>
          <w:color w:val="000000"/>
          <w:sz w:val="32"/>
          <w:szCs w:val="32"/>
        </w:rPr>
        <w:t>），</w:t>
      </w:r>
      <w:r>
        <w:rPr>
          <w:rFonts w:hint="eastAsia" w:ascii="仿宋_GB2312" w:hAnsi="仿宋" w:eastAsia="仿宋_GB2312"/>
          <w:b/>
          <w:color w:val="000000"/>
          <w:sz w:val="32"/>
          <w:szCs w:val="32"/>
        </w:rPr>
        <w:t>上传截止时间为我省2020年本科插班生招生录取开始日期前10天。</w:t>
      </w:r>
      <w:r>
        <w:rPr>
          <w:rFonts w:hint="eastAsia" w:ascii="仿宋_GB2312" w:hAnsi="仿宋" w:eastAsia="仿宋_GB2312"/>
          <w:color w:val="000000"/>
          <w:sz w:val="32"/>
          <w:szCs w:val="32"/>
        </w:rPr>
        <w:t>逾期未上传体检表或体检结果不符合教育部、卫生部、中国残疾人联合会《关于印发&lt;普通高等学校招生体检工作指导意见&gt;的通知》（教学〔2003〕3号）、《教育部办公厅 卫生部办公厅关于普通高等学校招生学生入学身体检查取消乙肝项目检测有关问题的通知》（教学厅〔2010〕2号）及教育部《关于明确慢性肝炎病人并且肝功能不正常的具体判定标准的函》（教学司函〔2010〕22号）要求的，</w:t>
      </w:r>
      <w:r>
        <w:rPr>
          <w:rFonts w:hint="eastAsia" w:ascii="仿宋_GB2312" w:hAnsi="仿宋" w:eastAsia="仿宋_GB2312"/>
          <w:b/>
          <w:color w:val="000000"/>
          <w:sz w:val="32"/>
          <w:szCs w:val="32"/>
        </w:rPr>
        <w:t>不予录取，已录取的</w:t>
      </w:r>
      <w:r>
        <w:rPr>
          <w:rFonts w:hint="eastAsia" w:ascii="仿宋_GB2312" w:hAnsi="仿宋" w:eastAsia="仿宋_GB2312"/>
          <w:b/>
          <w:bCs/>
          <w:color w:val="000000"/>
          <w:sz w:val="32"/>
          <w:szCs w:val="32"/>
        </w:rPr>
        <w:t>将被取消录取资格。</w:t>
      </w:r>
    </w:p>
    <w:p>
      <w:pPr>
        <w:adjustRightInd w:val="0"/>
        <w:snapToGrid w:val="0"/>
        <w:spacing w:line="520" w:lineRule="exact"/>
        <w:ind w:firstLine="640" w:firstLineChars="200"/>
        <w:rPr>
          <w:rFonts w:ascii="黑体" w:hAnsi="黑体" w:eastAsia="黑体"/>
          <w:bCs/>
          <w:sz w:val="32"/>
          <w:szCs w:val="32"/>
        </w:rPr>
      </w:pPr>
      <w:r>
        <w:rPr>
          <w:rFonts w:hint="eastAsia" w:ascii="黑体" w:hAnsi="黑体" w:eastAsia="黑体"/>
          <w:bCs/>
          <w:sz w:val="32"/>
          <w:szCs w:val="32"/>
        </w:rPr>
        <w:t>四、准考证的领取</w:t>
      </w:r>
    </w:p>
    <w:p>
      <w:pPr>
        <w:pStyle w:val="2"/>
        <w:spacing w:line="550" w:lineRule="exact"/>
        <w:ind w:firstLine="640"/>
        <w:rPr>
          <w:rFonts w:ascii="黑体" w:hAnsi="黑体" w:eastAsia="黑体"/>
          <w:sz w:val="32"/>
          <w:szCs w:val="32"/>
        </w:rPr>
      </w:pPr>
      <w:r>
        <w:rPr>
          <w:rFonts w:hint="eastAsia" w:ascii="仿宋_GB2312" w:hAnsi="宋体" w:eastAsia="仿宋_GB2312"/>
          <w:sz w:val="32"/>
          <w:szCs w:val="32"/>
        </w:rPr>
        <w:t>请考生留意广东省教育考试院网站公告，</w:t>
      </w:r>
      <w:r>
        <w:rPr>
          <w:rFonts w:hint="eastAsia" w:ascii="仿宋_GB2312" w:hAnsi="宋体" w:eastAsia="仿宋_GB2312"/>
          <w:b/>
          <w:bCs/>
          <w:sz w:val="32"/>
          <w:szCs w:val="32"/>
        </w:rPr>
        <w:t>自行在</w:t>
      </w:r>
      <w:r>
        <w:rPr>
          <w:rFonts w:hint="eastAsia" w:ascii="仿宋_GB2312" w:hAnsi="仿宋" w:eastAsia="仿宋_GB2312"/>
          <w:b/>
          <w:bCs/>
          <w:sz w:val="32"/>
          <w:szCs w:val="32"/>
        </w:rPr>
        <w:t>“广东省本科插班生网上报名系统”打印准考证</w:t>
      </w:r>
      <w:r>
        <w:rPr>
          <w:rFonts w:hint="eastAsia" w:ascii="仿宋_GB2312" w:hAnsi="仿宋" w:eastAsia="仿宋_GB2312"/>
          <w:sz w:val="32"/>
          <w:szCs w:val="32"/>
        </w:rPr>
        <w:t>，</w:t>
      </w:r>
      <w:r>
        <w:rPr>
          <w:rFonts w:hint="eastAsia" w:ascii="仿宋_GB2312" w:hAnsi="宋体" w:eastAsia="仿宋_GB2312"/>
          <w:sz w:val="32"/>
          <w:szCs w:val="32"/>
        </w:rPr>
        <w:t>请谨记确认报名表上的准考证号，一旦丢失无法找回，后果自负。</w:t>
      </w:r>
    </w:p>
    <w:p>
      <w:pPr>
        <w:adjustRightInd w:val="0"/>
        <w:snapToGrid w:val="0"/>
        <w:spacing w:line="520" w:lineRule="exact"/>
        <w:ind w:firstLine="640" w:firstLineChars="200"/>
        <w:rPr>
          <w:rFonts w:ascii="黑体" w:hAnsi="黑体" w:eastAsia="黑体"/>
          <w:bCs/>
          <w:sz w:val="32"/>
          <w:szCs w:val="32"/>
        </w:rPr>
      </w:pPr>
      <w:r>
        <w:rPr>
          <w:rFonts w:hint="eastAsia" w:ascii="黑体" w:hAnsi="黑体" w:eastAsia="黑体"/>
          <w:bCs/>
          <w:sz w:val="32"/>
          <w:szCs w:val="32"/>
        </w:rPr>
        <w:t>五、招生专业及计划</w:t>
      </w:r>
    </w:p>
    <w:p>
      <w:pPr>
        <w:pStyle w:val="2"/>
        <w:spacing w:line="550" w:lineRule="exact"/>
        <w:ind w:firstLine="640"/>
        <w:rPr>
          <w:rFonts w:ascii="黑体" w:hAnsi="黑体" w:eastAsia="黑体"/>
          <w:sz w:val="32"/>
          <w:szCs w:val="32"/>
        </w:rPr>
      </w:pPr>
      <w:r>
        <w:rPr>
          <w:rFonts w:hint="eastAsia" w:ascii="仿宋_GB2312" w:hAnsi="宋体" w:eastAsia="仿宋_GB2312"/>
          <w:sz w:val="32"/>
          <w:szCs w:val="32"/>
        </w:rPr>
        <w:t>肇庆学院2020年本科插班生招生专业及计划：</w:t>
      </w:r>
      <w:r>
        <w:rPr>
          <w:rFonts w:hint="eastAsia" w:ascii="仿宋_GB2312" w:hAnsi="宋体" w:eastAsia="仿宋_GB2312"/>
          <w:color w:val="000000" w:themeColor="text1"/>
          <w:sz w:val="32"/>
          <w:szCs w:val="32"/>
          <w14:textFill>
            <w14:solidFill>
              <w14:schemeClr w14:val="tx1"/>
            </w14:solidFill>
          </w14:textFill>
        </w:rPr>
        <w:t>汉语言文学（师范）250人、英语（师范）265人、小学教育（师范）155人、学前教育（师范）100人、生物科学（师范）100人、生物技术（师范）40人，国际经济与贸易175人、会计学225人、市场营销160人、数学与应用数学（师范）170人、计算机科学与技术（师范）65人、环境工程50人、食品科学与工程60人、酒店管理50人、旅游管理150人，共十五个专业，合计2015人，考生只能报考一所院校一个专业</w:t>
      </w:r>
      <w:r>
        <w:rPr>
          <w:rFonts w:hint="eastAsia" w:ascii="仿宋_GB2312" w:hAnsi="宋体" w:eastAsia="仿宋_GB2312"/>
          <w:sz w:val="32"/>
          <w:szCs w:val="32"/>
        </w:rPr>
        <w:t>（</w:t>
      </w:r>
      <w:r>
        <w:rPr>
          <w:rFonts w:hint="eastAsia" w:ascii="仿宋_GB2312" w:hAnsi="宋体" w:eastAsia="仿宋_GB2312"/>
          <w:b/>
          <w:bCs/>
          <w:sz w:val="32"/>
          <w:szCs w:val="32"/>
        </w:rPr>
        <w:t>招生专业的报考范围详见附件1</w:t>
      </w:r>
      <w:r>
        <w:rPr>
          <w:rFonts w:hint="eastAsia" w:ascii="仿宋_GB2312" w:hAnsi="宋体" w:eastAsia="仿宋_GB2312"/>
          <w:sz w:val="32"/>
          <w:szCs w:val="32"/>
        </w:rPr>
        <w:t>）。</w:t>
      </w:r>
    </w:p>
    <w:p>
      <w:pPr>
        <w:snapToGrid w:val="0"/>
        <w:spacing w:line="540" w:lineRule="exact"/>
        <w:ind w:firstLine="630"/>
        <w:rPr>
          <w:rFonts w:ascii="黑体" w:hAnsi="黑体" w:eastAsia="黑体"/>
          <w:color w:val="000000"/>
          <w:sz w:val="32"/>
          <w:szCs w:val="32"/>
        </w:rPr>
      </w:pPr>
      <w:r>
        <w:rPr>
          <w:rFonts w:hint="eastAsia" w:ascii="黑体" w:hAnsi="黑体" w:eastAsia="黑体"/>
          <w:color w:val="000000"/>
          <w:sz w:val="32"/>
          <w:szCs w:val="32"/>
        </w:rPr>
        <w:t>六、考试及录取</w:t>
      </w:r>
    </w:p>
    <w:p>
      <w:pPr>
        <w:widowControl/>
        <w:snapToGrid w:val="0"/>
        <w:spacing w:line="540" w:lineRule="exact"/>
        <w:ind w:firstLine="640"/>
        <w:jc w:val="left"/>
        <w:rPr>
          <w:rFonts w:ascii="仿宋_GB2312" w:hAnsi="仿宋" w:eastAsia="仿宋_GB2312"/>
          <w:b/>
          <w:bCs/>
          <w:color w:val="000000"/>
          <w:sz w:val="32"/>
          <w:szCs w:val="32"/>
          <w:u w:val="single"/>
        </w:rPr>
      </w:pPr>
      <w:r>
        <w:rPr>
          <w:rFonts w:hint="eastAsia" w:ascii="仿宋_GB2312" w:hAnsi="仿宋" w:eastAsia="仿宋_GB2312"/>
          <w:b/>
          <w:bCs/>
          <w:color w:val="000000"/>
          <w:sz w:val="32"/>
          <w:szCs w:val="32"/>
          <w:u w:val="single"/>
        </w:rPr>
        <w:t>由于受疫情影响，本科插班生（含三二分段专升本转段）考试及录取时间初步安排在4月底以后，具体时间另文通知。</w:t>
      </w:r>
    </w:p>
    <w:p>
      <w:pPr>
        <w:snapToGrid w:val="0"/>
        <w:spacing w:line="540" w:lineRule="exact"/>
        <w:ind w:firstLine="630"/>
        <w:rPr>
          <w:rFonts w:ascii="仿宋_GB2312" w:hAnsi="宋体" w:eastAsia="仿宋_GB2312"/>
          <w:b/>
          <w:bCs/>
          <w:sz w:val="32"/>
          <w:szCs w:val="32"/>
        </w:rPr>
      </w:pPr>
      <w:r>
        <w:rPr>
          <w:rFonts w:hint="eastAsia" w:ascii="仿宋_GB2312" w:hAnsi="宋体" w:eastAsia="仿宋_GB2312"/>
          <w:b/>
          <w:bCs/>
          <w:sz w:val="32"/>
          <w:szCs w:val="32"/>
        </w:rPr>
        <w:t>（一）考试</w:t>
      </w:r>
    </w:p>
    <w:p>
      <w:pPr>
        <w:snapToGrid w:val="0"/>
        <w:spacing w:line="540" w:lineRule="exact"/>
        <w:ind w:firstLine="630"/>
        <w:rPr>
          <w:rFonts w:ascii="仿宋_GB2312" w:hAnsi="宋体" w:eastAsia="仿宋_GB2312"/>
          <w:sz w:val="32"/>
          <w:szCs w:val="32"/>
        </w:rPr>
      </w:pPr>
      <w:r>
        <w:rPr>
          <w:rFonts w:hint="eastAsia" w:ascii="仿宋_GB2312" w:hAnsi="宋体" w:eastAsia="仿宋_GB2312"/>
          <w:sz w:val="32"/>
          <w:szCs w:val="32"/>
        </w:rPr>
        <w:t>考试科目为五门，其中《政治理论》、《英语》和《专业基础课》三门为全省统考科目，另外两门为我校自行命题的专业课。报考英语专业插班生的考生，考试科目为《政治理论》、《大学语文》两门统考科目及三门我校自行命题的专业课，不参加省统考《英语》科目。各科满分为100分，五科总分为500分。每科考试时间为120分钟。考试形式一律为闭卷考试。专业课及考试地点具体安排见《准考证》。</w:t>
      </w:r>
    </w:p>
    <w:p>
      <w:pPr>
        <w:pStyle w:val="2"/>
        <w:spacing w:line="550" w:lineRule="exact"/>
        <w:ind w:firstLine="640"/>
        <w:rPr>
          <w:rFonts w:ascii="仿宋_GB2312" w:hAnsi="仿宋" w:eastAsia="仿宋_GB2312"/>
          <w:sz w:val="32"/>
          <w:szCs w:val="32"/>
        </w:rPr>
      </w:pPr>
      <w:r>
        <w:rPr>
          <w:rFonts w:hint="eastAsia" w:ascii="仿宋_GB2312" w:hAnsi="仿宋" w:eastAsia="仿宋_GB2312"/>
          <w:sz w:val="32"/>
          <w:szCs w:val="32"/>
        </w:rPr>
        <w:t>省统考科目的考试大纲和考试范围由省教育考试院根据教育部专科升本科同一层次的要求编写确定，</w:t>
      </w:r>
      <w:r>
        <w:rPr>
          <w:rFonts w:hint="eastAsia" w:ascii="仿宋_GB2312" w:hAnsi="宋体" w:eastAsia="仿宋_GB2312"/>
          <w:sz w:val="32"/>
          <w:szCs w:val="32"/>
        </w:rPr>
        <w:t>并于报名前向社会公布</w:t>
      </w:r>
      <w:r>
        <w:rPr>
          <w:rFonts w:hint="eastAsia" w:ascii="仿宋_GB2312" w:hAnsi="仿宋" w:eastAsia="仿宋_GB2312"/>
          <w:sz w:val="32"/>
          <w:szCs w:val="32"/>
        </w:rPr>
        <w:t>。</w:t>
      </w:r>
    </w:p>
    <w:p>
      <w:pPr>
        <w:pStyle w:val="2"/>
        <w:spacing w:line="550" w:lineRule="exact"/>
        <w:ind w:firstLine="640"/>
        <w:rPr>
          <w:rFonts w:ascii="仿宋_GB2312" w:hAnsi="宋体" w:eastAsia="仿宋_GB2312"/>
          <w:sz w:val="32"/>
          <w:szCs w:val="32"/>
        </w:rPr>
      </w:pPr>
      <w:r>
        <w:rPr>
          <w:rFonts w:hint="eastAsia" w:ascii="仿宋_GB2312" w:hAnsi="宋体" w:eastAsia="仿宋_GB2312"/>
          <w:sz w:val="32"/>
          <w:szCs w:val="32"/>
        </w:rPr>
        <w:t>校考各专业考试科目、指定参考书等见招生专业目录，考试大纲和考试范围由我校根据专科升本科同一层次的要求编写，考生可在我校招生办网站下载（</w:t>
      </w:r>
      <w:r>
        <w:fldChar w:fldCharType="begin"/>
      </w:r>
      <w:r>
        <w:instrText xml:space="preserve"> HYPERLINK "http://zsb.zqu.edu.cn/" </w:instrText>
      </w:r>
      <w:r>
        <w:fldChar w:fldCharType="separate"/>
      </w:r>
      <w:r>
        <w:rPr>
          <w:rFonts w:hint="eastAsia" w:ascii="仿宋_GB2312" w:hAnsi="宋体" w:eastAsia="仿宋_GB2312"/>
          <w:sz w:val="32"/>
          <w:szCs w:val="32"/>
        </w:rPr>
        <w:t>http://zsb.zqu.edu.cn</w:t>
      </w:r>
      <w:r>
        <w:rPr>
          <w:rFonts w:hint="eastAsia" w:ascii="仿宋_GB2312" w:hAnsi="宋体" w:eastAsia="仿宋_GB2312"/>
          <w:sz w:val="32"/>
          <w:szCs w:val="32"/>
        </w:rPr>
        <w:fldChar w:fldCharType="end"/>
      </w:r>
      <w:r>
        <w:rPr>
          <w:rFonts w:hint="eastAsia" w:ascii="仿宋_GB2312" w:hAnsi="宋体" w:eastAsia="仿宋_GB2312"/>
          <w:sz w:val="32"/>
          <w:szCs w:val="32"/>
        </w:rPr>
        <w:t>）。</w:t>
      </w:r>
    </w:p>
    <w:p>
      <w:pPr>
        <w:snapToGrid w:val="0"/>
        <w:spacing w:line="540" w:lineRule="exact"/>
        <w:ind w:firstLine="630"/>
        <w:rPr>
          <w:rFonts w:ascii="仿宋_GB2312" w:hAnsi="宋体" w:eastAsia="仿宋_GB2312"/>
          <w:b/>
          <w:bCs/>
          <w:sz w:val="32"/>
          <w:szCs w:val="32"/>
        </w:rPr>
      </w:pPr>
      <w:r>
        <w:rPr>
          <w:rFonts w:hint="eastAsia" w:ascii="仿宋_GB2312" w:hAnsi="宋体" w:eastAsia="仿宋_GB2312"/>
          <w:b/>
          <w:bCs/>
          <w:sz w:val="32"/>
          <w:szCs w:val="32"/>
        </w:rPr>
        <w:t>（二）录取</w:t>
      </w:r>
    </w:p>
    <w:p>
      <w:pPr>
        <w:adjustRightInd w:val="0"/>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1.由省招生委员会根据本科插班生招生计划和考生成绩情况，分文史类、理工类和外语类专业划定五门考试科目总分和省统考科目总分的最低录取分数控制线。</w:t>
      </w:r>
    </w:p>
    <w:p>
      <w:pPr>
        <w:adjustRightInd w:val="0"/>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2.考生在达到省招生委员会划定的两条录取分数线投档后，我校按“分数优先，遵循志愿”的原则录取。</w:t>
      </w:r>
    </w:p>
    <w:p>
      <w:pPr>
        <w:adjustRightInd w:val="0"/>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（1）只有单个教学点（即校本部，专业有学前教育、英语、环境工程等共10个）专业的录取：我校分专业按投档总分（五门考试科目总分）从高到低排序，择优录取；</w:t>
      </w:r>
    </w:p>
    <w:p>
      <w:pPr>
        <w:adjustRightInd w:val="0"/>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（2）报考我校同一专业不同教学点</w:t>
      </w:r>
      <w:r>
        <w:rPr>
          <w:rFonts w:hint="eastAsia" w:ascii="仿宋_GB2312" w:hAnsi="宋体" w:eastAsia="仿宋_GB2312"/>
          <w:sz w:val="32"/>
          <w:szCs w:val="32"/>
          <w:lang w:eastAsia="zh-CN"/>
        </w:rPr>
        <w:t>（广东科学技术职业学院、广东水利电力职业技术学院和中山火炬职业技术学院共</w:t>
      </w:r>
      <w:r>
        <w:rPr>
          <w:rFonts w:hint="eastAsia" w:ascii="仿宋_GB2312" w:hAnsi="宋体" w:eastAsia="仿宋_GB2312"/>
          <w:sz w:val="32"/>
          <w:szCs w:val="32"/>
          <w:lang w:val="en-US" w:eastAsia="zh-CN"/>
        </w:rPr>
        <w:t>3个</w:t>
      </w:r>
      <w:r>
        <w:rPr>
          <w:rFonts w:hint="eastAsia" w:ascii="仿宋_GB2312" w:hAnsi="宋体" w:eastAsia="仿宋_GB2312"/>
          <w:sz w:val="32"/>
          <w:szCs w:val="32"/>
          <w:lang w:eastAsia="zh-CN"/>
        </w:rPr>
        <w:t>）</w:t>
      </w:r>
      <w:r>
        <w:rPr>
          <w:rFonts w:hint="eastAsia" w:ascii="仿宋_GB2312" w:hAnsi="宋体" w:eastAsia="仿宋_GB2312"/>
          <w:sz w:val="32"/>
          <w:szCs w:val="32"/>
        </w:rPr>
        <w:t>的录取：共有5个专业，根据考生的5科投档总分从高到低排序，优先满足高分考生的第一教学点志愿（我校有两个或三个教学点），若该教学点额满，再逐一查看该生的后续志愿进行录取，如此类推，录满为止。建议升学愿望强烈的考生应填满志愿。</w:t>
      </w:r>
    </w:p>
    <w:p>
      <w:pPr>
        <w:adjustRightInd w:val="0"/>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（3）同分点的处理办法：当5科投档总分相同时，依次按照3科省统考科目总分（英语专业为2科总分）、专业基础课成绩（英语专业为大学语文）、政治理论成绩、英语成绩（英语专业除外）从高到低排序录取。</w:t>
      </w:r>
    </w:p>
    <w:p>
      <w:pPr>
        <w:adjustRightInd w:val="0"/>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（4）考生所填报的专业教学点志愿均额满未被录取时，如“服从调剂”，在招生计划尚有空额的前提下，则可调剂到该专业尚未录满的其他教学点，直至额满为止；考生填“不服从调剂”，则作退档处理。</w:t>
      </w:r>
    </w:p>
    <w:p>
      <w:pPr>
        <w:adjustRightInd w:val="0"/>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3.具有普通专科毕业学历的退役士兵填报普通高等学校志愿的，省将根据考生志愿及成绩情况单独划线。在按照省投档规则出档后，按考生填报第一专业志愿全部录取。服役期间荣立三等功</w:t>
      </w:r>
      <w:r>
        <w:rPr>
          <w:rFonts w:hint="eastAsia" w:ascii="仿宋_GB2312" w:hAnsi="宋体" w:eastAsia="仿宋_GB2312"/>
          <w:sz w:val="32"/>
          <w:szCs w:val="32"/>
          <w:lang w:eastAsia="zh-CN"/>
        </w:rPr>
        <w:t>及</w:t>
      </w:r>
      <w:r>
        <w:rPr>
          <w:rFonts w:hint="eastAsia" w:ascii="仿宋_GB2312" w:hAnsi="宋体" w:eastAsia="仿宋_GB2312"/>
          <w:sz w:val="32"/>
          <w:szCs w:val="32"/>
        </w:rPr>
        <w:t>以上奖励的普通高职（专科）退役士兵考生（应届或往届），免试入读我校招生的相关专业。</w:t>
      </w:r>
    </w:p>
    <w:p>
      <w:pPr>
        <w:adjustRightInd w:val="0"/>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4.考生凡持假证明、假文凭等虚假材料报名及冒名顶替考试的，取消考试资格；已被录取的，取消录取资格；已取得学籍的，取消学籍；并追究其法律责任。</w:t>
      </w:r>
    </w:p>
    <w:p>
      <w:pPr>
        <w:adjustRightInd w:val="0"/>
        <w:spacing w:line="520" w:lineRule="exact"/>
        <w:ind w:left="153" w:firstLine="640" w:firstLineChars="200"/>
        <w:rPr>
          <w:rFonts w:ascii="黑体" w:hAnsi="黑体" w:eastAsia="黑体"/>
          <w:bCs/>
          <w:sz w:val="32"/>
          <w:szCs w:val="32"/>
        </w:rPr>
      </w:pPr>
      <w:r>
        <w:rPr>
          <w:rFonts w:hint="eastAsia" w:ascii="黑体" w:hAnsi="黑体" w:eastAsia="黑体"/>
          <w:bCs/>
          <w:sz w:val="32"/>
          <w:szCs w:val="32"/>
        </w:rPr>
        <w:t>七、入学收费标准</w:t>
      </w:r>
    </w:p>
    <w:p>
      <w:pPr>
        <w:adjustRightInd w:val="0"/>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被录取考生入学收费标准按省物价局的规定执行。</w:t>
      </w:r>
    </w:p>
    <w:p>
      <w:pPr>
        <w:adjustRightInd w:val="0"/>
        <w:spacing w:line="520" w:lineRule="exact"/>
        <w:ind w:left="152" w:firstLine="640" w:firstLineChars="200"/>
        <w:rPr>
          <w:rFonts w:ascii="??_GB2312" w:hAnsi="宋体" w:eastAsia="Times New Roman"/>
          <w:b/>
          <w:sz w:val="24"/>
        </w:rPr>
      </w:pPr>
      <w:r>
        <w:rPr>
          <w:rFonts w:hint="eastAsia" w:ascii="黑体" w:hAnsi="黑体" w:eastAsia="黑体"/>
          <w:bCs/>
          <w:sz w:val="32"/>
          <w:szCs w:val="32"/>
        </w:rPr>
        <w:t>八、在校学习期间的管理</w:t>
      </w:r>
    </w:p>
    <w:p>
      <w:pPr>
        <w:adjustRightInd w:val="0"/>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本科插班生为国家任务生，秋季入学，全日制脱产学习。插班生入学后，由招生学校（教学点）进行思想政治、专科学历、健康情况复查，经复查未通过的，取消其入学资格；复查合格并经注册后，即成为学校的正式学生，插入本科专业三年级学习，并按插入年级的管理办法进行管理。</w:t>
      </w:r>
    </w:p>
    <w:p>
      <w:pPr>
        <w:adjustRightInd w:val="0"/>
        <w:spacing w:line="520" w:lineRule="exact"/>
        <w:ind w:left="153" w:firstLine="640" w:firstLineChars="200"/>
        <w:rPr>
          <w:rFonts w:ascii="??_GB2312" w:hAnsi="宋体" w:eastAsia="Times New Roman"/>
          <w:b/>
          <w:sz w:val="24"/>
        </w:rPr>
      </w:pPr>
      <w:r>
        <w:rPr>
          <w:rFonts w:hint="eastAsia" w:ascii="黑体" w:hAnsi="黑体" w:eastAsia="黑体"/>
          <w:bCs/>
          <w:sz w:val="32"/>
          <w:szCs w:val="32"/>
        </w:rPr>
        <w:t>九、毕业与就业</w:t>
      </w:r>
    </w:p>
    <w:p>
      <w:pPr>
        <w:adjustRightInd w:val="0"/>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本科插班生修完本科教学计划规定的课程，德、智、体考核合格，准予本科毕业，发给本科毕业证书。</w:t>
      </w:r>
    </w:p>
    <w:p>
      <w:pPr>
        <w:adjustRightInd w:val="0"/>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符合《中华人民共和国学位条例》规定者，授予相应的学士学位。</w:t>
      </w:r>
    </w:p>
    <w:p>
      <w:pPr>
        <w:adjustRightInd w:val="0"/>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本科插班生毕业后的就业办法，与普通高校本科毕业生相同。</w:t>
      </w:r>
    </w:p>
    <w:p>
      <w:pPr>
        <w:ind w:firstLine="640" w:firstLineChars="200"/>
        <w:rPr>
          <w:rFonts w:ascii="黑体" w:hAnsi="黑体" w:eastAsia="黑体" w:cs="黑体"/>
          <w:bCs/>
          <w:sz w:val="32"/>
          <w:szCs w:val="32"/>
        </w:rPr>
      </w:pPr>
      <w:r>
        <w:rPr>
          <w:rFonts w:hint="eastAsia" w:ascii="黑体" w:hAnsi="黑体" w:eastAsia="黑体" w:cs="黑体"/>
          <w:bCs/>
          <w:sz w:val="32"/>
          <w:szCs w:val="32"/>
        </w:rPr>
        <w:t>十、肇庆学院招生办公室联系方式</w:t>
      </w:r>
    </w:p>
    <w:p>
      <w:pPr>
        <w:widowControl/>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咨询电话：0758-2716043</w:t>
      </w:r>
    </w:p>
    <w:p>
      <w:pPr>
        <w:widowControl/>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邮箱地址：zqxyzsb@zqu.edu.cn</w:t>
      </w:r>
    </w:p>
    <w:p>
      <w:pPr>
        <w:widowControl/>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招生网址：http://zsb.zqu.edu.cn</w:t>
      </w:r>
    </w:p>
    <w:p>
      <w:pPr>
        <w:widowControl/>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QQ在线：168286964　</w:t>
      </w:r>
    </w:p>
    <w:p>
      <w:pPr>
        <w:widowControl/>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新浪微博：广东肇庆学院招生办</w:t>
      </w:r>
    </w:p>
    <w:p>
      <w:pPr>
        <w:widowControl/>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学校地址：（校本部）肇庆市端州区肇庆大道；</w:t>
      </w:r>
    </w:p>
    <w:p>
      <w:pPr>
        <w:widowControl/>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（星湖校区）肇庆市端州区星湖大道。</w:t>
      </w:r>
    </w:p>
    <w:p/>
    <w:tbl>
      <w:tblPr>
        <w:tblStyle w:val="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1"/>
        <w:gridCol w:w="4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2" w:hRule="atLeast"/>
          <w:jc w:val="center"/>
        </w:trPr>
        <w:tc>
          <w:tcPr>
            <w:tcW w:w="4261" w:type="dxa"/>
            <w:vAlign w:val="center"/>
          </w:tcPr>
          <w:p>
            <w:pPr>
              <w:widowControl/>
              <w:snapToGrid w:val="0"/>
              <w:ind w:firstLine="420" w:firstLineChars="200"/>
              <w:rPr>
                <w:rFonts w:ascii="仿宋_GB2312" w:hAnsi="宋体" w:eastAsia="仿宋_GB2312"/>
                <w:sz w:val="32"/>
                <w:szCs w:val="32"/>
              </w:rPr>
            </w:pPr>
            <w:r>
              <w:rPr>
                <w:rFonts w:hint="eastAsia"/>
              </w:rPr>
              <w:t xml:space="preserve">          </w:t>
            </w:r>
            <w:r>
              <w:rPr>
                <w:rFonts w:hint="eastAsia"/>
              </w:rPr>
              <w:drawing>
                <wp:anchor distT="0" distB="0" distL="114300" distR="114300" simplePos="0" relativeHeight="251658240" behindDoc="0" locked="0" layoutInCell="1" allowOverlap="1">
                  <wp:simplePos x="0" y="0"/>
                  <wp:positionH relativeFrom="column">
                    <wp:posOffset>0</wp:posOffset>
                  </wp:positionH>
                  <wp:positionV relativeFrom="paragraph">
                    <wp:posOffset>-1409700</wp:posOffset>
                  </wp:positionV>
                  <wp:extent cx="2066290" cy="1684020"/>
                  <wp:effectExtent l="0" t="0" r="5715" b="0"/>
                  <wp:wrapTopAndBottom/>
                  <wp:docPr id="1" name="图片 16" descr="肇庆学院官微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descr="肇庆学院官微二维码"/>
                          <pic:cNvPicPr>
                            <a:picLocks noChangeAspect="1"/>
                          </pic:cNvPicPr>
                        </pic:nvPicPr>
                        <pic:blipFill>
                          <a:blip r:embed="rId6"/>
                          <a:stretch>
                            <a:fillRect/>
                          </a:stretch>
                        </pic:blipFill>
                        <pic:spPr>
                          <a:xfrm>
                            <a:off x="0" y="0"/>
                            <a:ext cx="2066290" cy="1684020"/>
                          </a:xfrm>
                          <a:prstGeom prst="rect">
                            <a:avLst/>
                          </a:prstGeom>
                        </pic:spPr>
                      </pic:pic>
                    </a:graphicData>
                  </a:graphic>
                </wp:anchor>
              </w:drawing>
            </w:r>
          </w:p>
        </w:tc>
        <w:tc>
          <w:tcPr>
            <w:tcW w:w="4261" w:type="dxa"/>
            <w:vAlign w:val="center"/>
          </w:tcPr>
          <w:p>
            <w:pPr>
              <w:snapToGrid w:val="0"/>
              <w:spacing w:line="540" w:lineRule="exact"/>
              <w:rPr>
                <w:rFonts w:ascii="仿宋_GB2312" w:hAnsi="宋体" w:eastAsia="仿宋_GB2312"/>
                <w:sz w:val="32"/>
                <w:szCs w:val="32"/>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-1442720</wp:posOffset>
                  </wp:positionV>
                  <wp:extent cx="2134870" cy="1712595"/>
                  <wp:effectExtent l="0" t="0" r="3175" b="4445"/>
                  <wp:wrapTopAndBottom/>
                  <wp:docPr id="2" name="图片 18" descr="肇庆学院招生办微信公众号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8" descr="肇庆学院招生办微信公众号01"/>
                          <pic:cNvPicPr>
                            <a:picLocks noChangeAspect="1"/>
                          </pic:cNvPicPr>
                        </pic:nvPicPr>
                        <pic:blipFill>
                          <a:blip r:embed="rId7"/>
                          <a:stretch>
                            <a:fillRect/>
                          </a:stretch>
                        </pic:blipFill>
                        <pic:spPr>
                          <a:xfrm>
                            <a:off x="0" y="0"/>
                            <a:ext cx="2134870" cy="1712595"/>
                          </a:xfrm>
                          <a:prstGeom prst="rect">
                            <a:avLst/>
                          </a:prstGeom>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1" w:type="dxa"/>
            <w:vAlign w:val="center"/>
          </w:tcPr>
          <w:p>
            <w:pPr>
              <w:snapToGrid w:val="0"/>
              <w:spacing w:line="540" w:lineRule="exact"/>
              <w:rPr>
                <w:rFonts w:ascii="仿宋_GB2312" w:hAnsi="宋体" w:eastAsia="仿宋_GB2312"/>
                <w:sz w:val="32"/>
                <w:szCs w:val="32"/>
              </w:rPr>
            </w:pPr>
            <w:r>
              <w:rPr>
                <w:rFonts w:hint="eastAsia" w:ascii="仿宋_GB2312" w:hAnsi="仿宋" w:eastAsia="仿宋_GB2312" w:cs="仿宋"/>
                <w:sz w:val="32"/>
                <w:szCs w:val="32"/>
              </w:rPr>
              <w:t xml:space="preserve">肇庆学院微信公众号 </w:t>
            </w:r>
          </w:p>
        </w:tc>
        <w:tc>
          <w:tcPr>
            <w:tcW w:w="4261" w:type="dxa"/>
            <w:vAlign w:val="center"/>
          </w:tcPr>
          <w:p>
            <w:pPr>
              <w:widowControl/>
              <w:snapToGrid w:val="0"/>
              <w:ind w:firstLine="640" w:firstLineChars="200"/>
              <w:rPr>
                <w:rFonts w:ascii="仿宋_GB2312" w:hAnsi="宋体" w:eastAsia="仿宋_GB2312"/>
                <w:sz w:val="32"/>
                <w:szCs w:val="32"/>
              </w:rPr>
            </w:pPr>
            <w:r>
              <w:rPr>
                <w:rFonts w:hint="eastAsia" w:ascii="仿宋_GB2312" w:hAnsi="仿宋" w:eastAsia="仿宋_GB2312" w:cs="仿宋"/>
                <w:sz w:val="32"/>
                <w:szCs w:val="32"/>
              </w:rPr>
              <w:t>招办微信公众号</w:t>
            </w:r>
          </w:p>
        </w:tc>
      </w:tr>
    </w:tbl>
    <w:p>
      <w:pPr>
        <w:snapToGrid w:val="0"/>
        <w:spacing w:line="540" w:lineRule="exact"/>
        <w:ind w:firstLine="630"/>
        <w:rPr>
          <w:rFonts w:ascii="仿宋_GB2312" w:hAnsi="宋体" w:eastAsia="仿宋_GB2312"/>
          <w:sz w:val="32"/>
          <w:szCs w:val="32"/>
        </w:rPr>
      </w:pPr>
    </w:p>
    <w:p>
      <w:pPr>
        <w:snapToGrid w:val="0"/>
        <w:spacing w:line="540" w:lineRule="exact"/>
        <w:ind w:left="1694" w:leftChars="263" w:hanging="1142" w:hangingChars="357"/>
        <w:rPr>
          <w:rFonts w:ascii="仿宋_GB2312" w:eastAsia="仿宋_GB2312"/>
          <w:sz w:val="32"/>
          <w:szCs w:val="32"/>
        </w:rPr>
      </w:pPr>
      <w:r>
        <w:rPr>
          <w:rFonts w:hint="eastAsia" w:ascii="仿宋_GB2312" w:hAnsi="宋体" w:eastAsia="仿宋_GB2312"/>
          <w:color w:val="000000"/>
          <w:sz w:val="32"/>
          <w:szCs w:val="32"/>
        </w:rPr>
        <w:t>附件：1.</w:t>
      </w:r>
      <w:r>
        <w:rPr>
          <w:rFonts w:hint="eastAsia" w:ascii="仿宋_GB2312" w:eastAsia="仿宋_GB2312"/>
          <w:sz w:val="32"/>
          <w:szCs w:val="32"/>
        </w:rPr>
        <w:t> </w:t>
      </w:r>
      <w:r>
        <w:rPr>
          <w:rFonts w:hint="eastAsia" w:ascii="仿宋_GB2312" w:hAnsi="仿宋" w:eastAsia="仿宋_GB2312" w:cs="仿宋"/>
          <w:sz w:val="32"/>
          <w:szCs w:val="32"/>
        </w:rPr>
        <w:t>2020年肇庆学院本科插班生招生考试补报名工作答考生问</w:t>
      </w:r>
    </w:p>
    <w:p>
      <w:pPr>
        <w:snapToGrid w:val="0"/>
        <w:spacing w:line="540" w:lineRule="exact"/>
        <w:ind w:left="1748" w:leftChars="714" w:hanging="249" w:hangingChars="78"/>
        <w:rPr>
          <w:rFonts w:ascii="仿宋_GB2312" w:hAnsi="宋体" w:eastAsia="仿宋_GB2312"/>
          <w:color w:val="000000"/>
          <w:sz w:val="32"/>
          <w:szCs w:val="32"/>
        </w:rPr>
      </w:pPr>
      <w:r>
        <w:rPr>
          <w:rFonts w:hint="eastAsia" w:ascii="仿宋_GB2312" w:hAnsi="宋体" w:eastAsia="仿宋_GB2312"/>
          <w:color w:val="000000"/>
          <w:sz w:val="32"/>
          <w:szCs w:val="32"/>
        </w:rPr>
        <w:t>2.</w:t>
      </w:r>
      <w:r>
        <w:rPr>
          <w:rFonts w:hint="eastAsia" w:ascii="仿宋_GB2312" w:hAnsi="仿宋" w:eastAsia="仿宋_GB2312"/>
          <w:sz w:val="32"/>
          <w:szCs w:val="32"/>
        </w:rPr>
        <w:t>广东省2020年普通高等学校本科插班生(含三二分段专升本转段)招生统一考试考生诚信考试承诺书</w:t>
      </w:r>
    </w:p>
    <w:p>
      <w:pPr>
        <w:snapToGrid w:val="0"/>
        <w:spacing w:line="540" w:lineRule="exact"/>
        <w:ind w:left="1748" w:leftChars="714" w:hanging="249" w:hangingChars="78"/>
        <w:rPr>
          <w:rFonts w:ascii="仿宋_GB2312" w:hAnsi="华文仿宋" w:eastAsia="仿宋_GB2312"/>
          <w:color w:val="000000"/>
          <w:sz w:val="32"/>
          <w:szCs w:val="32"/>
        </w:rPr>
      </w:pPr>
      <w:r>
        <w:rPr>
          <w:rFonts w:hint="eastAsia" w:ascii="仿宋_GB2312" w:hAnsi="宋体" w:eastAsia="仿宋_GB2312"/>
          <w:color w:val="000000"/>
          <w:sz w:val="32"/>
          <w:szCs w:val="32"/>
        </w:rPr>
        <w:t>3.</w:t>
      </w:r>
      <w:r>
        <w:rPr>
          <w:rFonts w:hint="eastAsia" w:ascii="仿宋_GB2312" w:hAnsi="仿宋" w:eastAsia="仿宋_GB2312"/>
          <w:bCs/>
          <w:sz w:val="32"/>
          <w:szCs w:val="32"/>
        </w:rPr>
        <w:t>广东省2020年普通高等学校本科插班生补报资料承诺书</w:t>
      </w:r>
    </w:p>
    <w:p>
      <w:pPr>
        <w:snapToGrid w:val="0"/>
        <w:spacing w:line="540" w:lineRule="exact"/>
        <w:ind w:left="1748" w:leftChars="714" w:hanging="249" w:hangingChars="78"/>
        <w:rPr>
          <w:rFonts w:ascii="仿宋_GB2312" w:eastAsia="仿宋_GB2312"/>
          <w:color w:val="000000"/>
          <w:sz w:val="32"/>
          <w:szCs w:val="32"/>
        </w:rPr>
      </w:pPr>
      <w:r>
        <w:rPr>
          <w:rFonts w:hint="eastAsia" w:ascii="仿宋_GB2312" w:hAnsi="华文仿宋" w:eastAsia="仿宋_GB2312"/>
          <w:color w:val="000000"/>
          <w:sz w:val="32"/>
          <w:szCs w:val="32"/>
        </w:rPr>
        <w:t>4.</w:t>
      </w:r>
      <w:r>
        <w:rPr>
          <w:rFonts w:hint="eastAsia" w:ascii="仿宋_GB2312" w:hAnsi="仿宋" w:eastAsia="仿宋_GB2312"/>
          <w:color w:val="000000"/>
          <w:sz w:val="32"/>
          <w:szCs w:val="32"/>
        </w:rPr>
        <w:t>广东省2020年</w:t>
      </w:r>
      <w:r>
        <w:rPr>
          <w:rFonts w:hint="eastAsia" w:ascii="仿宋_GB2312" w:hAnsi="仿宋" w:eastAsia="仿宋_GB2312"/>
          <w:bCs/>
          <w:sz w:val="32"/>
          <w:szCs w:val="32"/>
        </w:rPr>
        <w:t>普通高等学校</w:t>
      </w:r>
      <w:r>
        <w:rPr>
          <w:rFonts w:hint="eastAsia" w:ascii="仿宋_GB2312" w:hAnsi="仿宋" w:eastAsia="仿宋_GB2312"/>
          <w:color w:val="000000"/>
          <w:sz w:val="32"/>
          <w:szCs w:val="32"/>
        </w:rPr>
        <w:t>本科插班生考生专科毕业学历验证方式及注意事项</w:t>
      </w:r>
    </w:p>
    <w:p>
      <w:pPr>
        <w:snapToGrid w:val="0"/>
        <w:spacing w:line="540" w:lineRule="exact"/>
        <w:ind w:left="1748" w:leftChars="714" w:hanging="249" w:hangingChars="78"/>
        <w:rPr>
          <w:rFonts w:ascii="仿宋_GB2312" w:hAnsi="仿宋" w:eastAsia="仿宋_GB2312"/>
          <w:bCs/>
          <w:sz w:val="32"/>
          <w:szCs w:val="32"/>
        </w:rPr>
      </w:pPr>
      <w:r>
        <w:rPr>
          <w:rFonts w:hint="eastAsia" w:ascii="仿宋_GB2312" w:hAnsi="华文仿宋" w:eastAsia="仿宋_GB2312"/>
          <w:color w:val="000000"/>
          <w:sz w:val="32"/>
          <w:szCs w:val="32"/>
        </w:rPr>
        <w:t>5.</w:t>
      </w:r>
      <w:r>
        <w:rPr>
          <w:rFonts w:hint="eastAsia" w:ascii="仿宋_GB2312" w:hAnsi="仿宋" w:eastAsia="仿宋_GB2312"/>
          <w:bCs/>
          <w:sz w:val="32"/>
          <w:szCs w:val="32"/>
        </w:rPr>
        <w:t>2020年广东省普通高等学校本科插班生招生体格检查表</w:t>
      </w:r>
    </w:p>
    <w:p>
      <w:pPr>
        <w:snapToGrid w:val="0"/>
        <w:spacing w:line="540" w:lineRule="exact"/>
        <w:rPr>
          <w:rFonts w:ascii="仿宋_GB2312" w:hAnsi="仿宋" w:eastAsia="仿宋_GB2312"/>
          <w:bCs/>
          <w:sz w:val="32"/>
          <w:szCs w:val="32"/>
        </w:rPr>
      </w:pPr>
    </w:p>
    <w:p>
      <w:pPr>
        <w:snapToGrid w:val="0"/>
        <w:spacing w:line="560" w:lineRule="exact"/>
        <w:ind w:left="960" w:hanging="960" w:hangingChars="300"/>
        <w:jc w:val="center"/>
        <w:rPr>
          <w:rFonts w:ascii="仿宋_GB2312" w:hAnsi="仿宋" w:eastAsia="仿宋_GB2312"/>
          <w:bCs/>
          <w:color w:val="000000"/>
          <w:sz w:val="32"/>
          <w:szCs w:val="32"/>
        </w:rPr>
      </w:pPr>
      <w:r>
        <w:rPr>
          <w:rFonts w:hint="eastAsia" w:ascii="仿宋_GB2312" w:hAnsi="仿宋" w:eastAsia="仿宋_GB2312"/>
          <w:color w:val="000000"/>
          <w:sz w:val="32"/>
          <w:szCs w:val="32"/>
        </w:rPr>
        <w:t xml:space="preserve">                    肇庆学院</w:t>
      </w:r>
      <w:r>
        <w:rPr>
          <w:rFonts w:hint="eastAsia" w:ascii="仿宋_GB2312" w:hAnsi="仿宋" w:eastAsia="仿宋_GB2312"/>
          <w:bCs/>
          <w:color w:val="000000"/>
          <w:sz w:val="32"/>
          <w:szCs w:val="32"/>
        </w:rPr>
        <w:t>招生办公室</w:t>
      </w:r>
    </w:p>
    <w:p>
      <w:pPr>
        <w:pStyle w:val="3"/>
        <w:snapToGrid w:val="0"/>
        <w:spacing w:line="560" w:lineRule="exact"/>
        <w:ind w:left="0" w:leftChars="0" w:right="1283" w:rightChars="611"/>
        <w:jc w:val="right"/>
        <w:rPr>
          <w:rFonts w:ascii="仿宋_GB2312" w:hAnsi="仿宋" w:eastAsia="仿宋_GB2312"/>
          <w:color w:val="000000"/>
          <w:sz w:val="32"/>
          <w:szCs w:val="32"/>
        </w:rPr>
      </w:pPr>
      <w:r>
        <w:rPr>
          <w:rFonts w:hint="eastAsia" w:ascii="仿宋_GB2312" w:hAnsi="仿宋" w:eastAsia="仿宋_GB2312" w:cs="Arial Unicode MS"/>
          <w:color w:val="000000"/>
          <w:sz w:val="32"/>
          <w:szCs w:val="32"/>
        </w:rPr>
        <w:t>2020</w:t>
      </w:r>
      <w:r>
        <w:rPr>
          <w:rFonts w:hint="eastAsia" w:ascii="仿宋_GB2312" w:hAnsi="仿宋" w:eastAsia="仿宋_GB2312"/>
          <w:color w:val="000000"/>
          <w:sz w:val="32"/>
          <w:szCs w:val="32"/>
        </w:rPr>
        <w:t>年3月20日</w:t>
      </w:r>
    </w:p>
    <w:p>
      <w:pPr>
        <w:sectPr>
          <w:headerReference r:id="rId3" w:type="default"/>
          <w:footerReference r:id="rId4" w:type="default"/>
          <w:pgSz w:w="11906" w:h="16838"/>
          <w:pgMar w:top="1417" w:right="1417" w:bottom="1417" w:left="1417" w:header="851" w:footer="992" w:gutter="0"/>
          <w:cols w:space="425" w:num="1"/>
          <w:docGrid w:type="lines" w:linePitch="312" w:charSpace="0"/>
        </w:sectPr>
      </w:pPr>
    </w:p>
    <w:p>
      <w:pPr>
        <w:widowControl/>
        <w:snapToGrid w:val="0"/>
        <w:spacing w:line="460" w:lineRule="exact"/>
        <w:jc w:val="left"/>
        <w:rPr>
          <w:rFonts w:ascii="黑体" w:hAnsi="黑体" w:eastAsia="黑体"/>
          <w:color w:val="000000"/>
          <w:sz w:val="32"/>
          <w:szCs w:val="32"/>
        </w:rPr>
      </w:pPr>
      <w:r>
        <w:rPr>
          <w:rFonts w:ascii="黑体" w:hAnsi="黑体" w:eastAsia="黑体"/>
          <w:color w:val="000000"/>
          <w:sz w:val="32"/>
          <w:szCs w:val="32"/>
        </w:rPr>
        <w:t>附件</w:t>
      </w:r>
      <w:r>
        <w:rPr>
          <w:rFonts w:hint="eastAsia" w:ascii="黑体" w:hAnsi="黑体" w:eastAsia="黑体"/>
          <w:color w:val="000000"/>
          <w:sz w:val="32"/>
          <w:szCs w:val="32"/>
        </w:rPr>
        <w:t>1</w:t>
      </w:r>
    </w:p>
    <w:p>
      <w:pPr>
        <w:snapToGrid w:val="0"/>
        <w:spacing w:line="46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2020年肇庆学院本科插班生招生考试补报名工作答考生问</w:t>
      </w:r>
    </w:p>
    <w:p>
      <w:pPr>
        <w:rPr>
          <w:rFonts w:ascii="??_GB2312" w:hAnsi="宋体" w:eastAsia="Times New Roman"/>
          <w:b/>
          <w:szCs w:val="21"/>
        </w:rPr>
      </w:pPr>
      <w:r>
        <w:rPr>
          <w:rFonts w:hint="eastAsia" w:ascii="楷体_GB2312" w:hAnsi="宋体" w:eastAsia="楷体_GB2312" w:cs="宋体"/>
          <w:sz w:val="32"/>
          <w:szCs w:val="32"/>
        </w:rPr>
        <w:t>（一）请问今年插班生招生考试补报名后招生专业和招生计划数如何？是否有增加？去年的报考人数和录取情况如何？</w:t>
      </w:r>
    </w:p>
    <w:tbl>
      <w:tblPr>
        <w:tblStyle w:val="6"/>
        <w:tblW w:w="96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0"/>
        <w:gridCol w:w="720"/>
        <w:gridCol w:w="866"/>
        <w:gridCol w:w="2154"/>
        <w:gridCol w:w="606"/>
        <w:gridCol w:w="587"/>
        <w:gridCol w:w="607"/>
        <w:gridCol w:w="2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670" w:type="dxa"/>
            <w:vMerge w:val="restart"/>
            <w:vAlign w:val="center"/>
          </w:tcPr>
          <w:p>
            <w:pPr>
              <w:spacing w:line="240" w:lineRule="exact"/>
              <w:jc w:val="center"/>
              <w:rPr>
                <w:rFonts w:ascii="??_GB2312" w:hAnsi="宋体" w:eastAsia="Times New Roman"/>
                <w:b/>
                <w:bCs/>
                <w:sz w:val="18"/>
                <w:szCs w:val="18"/>
              </w:rPr>
            </w:pPr>
            <w:r>
              <w:rPr>
                <w:rFonts w:ascii="??_GB2312" w:hAnsi="宋体" w:eastAsia="Times New Roman"/>
                <w:b/>
                <w:bCs/>
                <w:sz w:val="18"/>
                <w:szCs w:val="18"/>
              </w:rPr>
              <w:t>招生专业</w:t>
            </w:r>
          </w:p>
        </w:tc>
        <w:tc>
          <w:tcPr>
            <w:tcW w:w="720" w:type="dxa"/>
            <w:vMerge w:val="restart"/>
            <w:vAlign w:val="center"/>
          </w:tcPr>
          <w:p>
            <w:pPr>
              <w:spacing w:line="240" w:lineRule="exact"/>
              <w:jc w:val="center"/>
              <w:rPr>
                <w:rFonts w:ascii="??_GB2312" w:hAnsi="宋体" w:eastAsia="Times New Roman"/>
                <w:b/>
                <w:bCs/>
                <w:sz w:val="18"/>
                <w:szCs w:val="18"/>
              </w:rPr>
            </w:pPr>
            <w:r>
              <w:rPr>
                <w:rFonts w:ascii="??_GB2312" w:hAnsi="宋体" w:eastAsia="Times New Roman"/>
                <w:b/>
                <w:bCs/>
                <w:sz w:val="18"/>
                <w:szCs w:val="18"/>
              </w:rPr>
              <w:t>20</w:t>
            </w:r>
            <w:r>
              <w:rPr>
                <w:rFonts w:hint="eastAsia" w:ascii="??_GB2312" w:hAnsi="宋体"/>
                <w:b/>
                <w:bCs/>
                <w:sz w:val="18"/>
                <w:szCs w:val="18"/>
              </w:rPr>
              <w:t>20</w:t>
            </w:r>
            <w:r>
              <w:rPr>
                <w:rFonts w:ascii="??_GB2312" w:hAnsi="宋体" w:eastAsia="Times New Roman"/>
                <w:b/>
                <w:bCs/>
                <w:sz w:val="18"/>
                <w:szCs w:val="18"/>
              </w:rPr>
              <w:t>年计划数</w:t>
            </w:r>
          </w:p>
        </w:tc>
        <w:tc>
          <w:tcPr>
            <w:tcW w:w="866" w:type="dxa"/>
            <w:vMerge w:val="restart"/>
            <w:vAlign w:val="center"/>
          </w:tcPr>
          <w:p>
            <w:pPr>
              <w:spacing w:line="240" w:lineRule="exact"/>
              <w:jc w:val="center"/>
              <w:rPr>
                <w:rFonts w:ascii="??_GB2312" w:hAnsi="宋体" w:eastAsia="Times New Roman"/>
                <w:b/>
                <w:bCs/>
                <w:sz w:val="18"/>
                <w:szCs w:val="18"/>
              </w:rPr>
            </w:pPr>
            <w:r>
              <w:rPr>
                <w:rFonts w:ascii="??_GB2312" w:hAnsi="宋体" w:eastAsia="Times New Roman"/>
                <w:b/>
                <w:bCs/>
                <w:sz w:val="18"/>
                <w:szCs w:val="18"/>
              </w:rPr>
              <w:t>学费</w:t>
            </w:r>
          </w:p>
          <w:p>
            <w:pPr>
              <w:spacing w:line="240" w:lineRule="exact"/>
              <w:jc w:val="center"/>
              <w:rPr>
                <w:rFonts w:ascii="??_GB2312" w:hAnsi="宋体" w:eastAsia="Times New Roman"/>
                <w:b/>
                <w:bCs/>
                <w:sz w:val="18"/>
                <w:szCs w:val="18"/>
              </w:rPr>
            </w:pPr>
            <w:r>
              <w:rPr>
                <w:rFonts w:ascii="??_GB2312" w:hAnsi="宋体" w:eastAsia="Times New Roman"/>
                <w:b/>
                <w:bCs/>
                <w:sz w:val="15"/>
                <w:szCs w:val="15"/>
              </w:rPr>
              <w:t>(元/学年)</w:t>
            </w:r>
          </w:p>
        </w:tc>
        <w:tc>
          <w:tcPr>
            <w:tcW w:w="2154" w:type="dxa"/>
            <w:vMerge w:val="restart"/>
            <w:vAlign w:val="center"/>
          </w:tcPr>
          <w:p>
            <w:pPr>
              <w:spacing w:line="240" w:lineRule="exact"/>
              <w:jc w:val="center"/>
              <w:rPr>
                <w:rFonts w:ascii="??_GB2312" w:hAnsi="宋体"/>
                <w:b/>
                <w:bCs/>
                <w:sz w:val="18"/>
                <w:szCs w:val="18"/>
              </w:rPr>
            </w:pPr>
            <w:r>
              <w:rPr>
                <w:rFonts w:ascii="??_GB2312" w:hAnsi="宋体" w:eastAsia="Times New Roman"/>
                <w:b/>
                <w:bCs/>
                <w:sz w:val="18"/>
                <w:szCs w:val="18"/>
              </w:rPr>
              <w:t>报考范围</w:t>
            </w:r>
            <w:r>
              <w:rPr>
                <w:rFonts w:hint="eastAsia" w:ascii="??_GB2312" w:hAnsi="宋体"/>
                <w:b/>
                <w:bCs/>
                <w:sz w:val="18"/>
                <w:szCs w:val="18"/>
              </w:rPr>
              <w:t>及要求</w:t>
            </w:r>
          </w:p>
        </w:tc>
        <w:tc>
          <w:tcPr>
            <w:tcW w:w="4286" w:type="dxa"/>
            <w:gridSpan w:val="4"/>
            <w:vAlign w:val="center"/>
          </w:tcPr>
          <w:p>
            <w:pPr>
              <w:spacing w:line="240" w:lineRule="exact"/>
              <w:jc w:val="center"/>
              <w:rPr>
                <w:rFonts w:ascii="??_GB2312" w:hAnsi="宋体" w:eastAsia="Times New Roman"/>
                <w:b/>
                <w:bCs/>
                <w:sz w:val="18"/>
                <w:szCs w:val="18"/>
              </w:rPr>
            </w:pPr>
            <w:r>
              <w:rPr>
                <w:rFonts w:ascii="??_GB2312" w:hAnsi="宋体" w:eastAsia="Times New Roman"/>
                <w:b/>
                <w:bCs/>
                <w:sz w:val="18"/>
                <w:szCs w:val="18"/>
              </w:rPr>
              <w:t>201</w:t>
            </w:r>
            <w:r>
              <w:rPr>
                <w:rFonts w:hint="eastAsia" w:ascii="??_GB2312" w:hAnsi="宋体"/>
                <w:b/>
                <w:bCs/>
                <w:sz w:val="18"/>
                <w:szCs w:val="18"/>
              </w:rPr>
              <w:t>9</w:t>
            </w:r>
            <w:r>
              <w:rPr>
                <w:rFonts w:ascii="??_GB2312" w:hAnsi="宋体" w:eastAsia="Times New Roman"/>
                <w:b/>
                <w:bCs/>
                <w:sz w:val="18"/>
                <w:szCs w:val="18"/>
              </w:rPr>
              <w:t>年报考及录取情况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670" w:type="dxa"/>
            <w:vMerge w:val="continue"/>
            <w:vAlign w:val="center"/>
          </w:tcPr>
          <w:p>
            <w:pPr>
              <w:spacing w:line="240" w:lineRule="exact"/>
              <w:jc w:val="center"/>
              <w:rPr>
                <w:rFonts w:ascii="??_GB2312" w:hAnsi="宋体" w:eastAsia="Times New Roman"/>
                <w:b/>
                <w:bCs/>
                <w:sz w:val="18"/>
                <w:szCs w:val="18"/>
              </w:rPr>
            </w:pPr>
          </w:p>
        </w:tc>
        <w:tc>
          <w:tcPr>
            <w:tcW w:w="720" w:type="dxa"/>
            <w:vMerge w:val="continue"/>
          </w:tcPr>
          <w:p>
            <w:pPr>
              <w:spacing w:line="240" w:lineRule="exact"/>
              <w:jc w:val="center"/>
              <w:rPr>
                <w:rFonts w:ascii="??_GB2312" w:hAnsi="宋体" w:eastAsia="Times New Roman"/>
                <w:b/>
                <w:bCs/>
                <w:sz w:val="18"/>
                <w:szCs w:val="18"/>
              </w:rPr>
            </w:pPr>
          </w:p>
        </w:tc>
        <w:tc>
          <w:tcPr>
            <w:tcW w:w="866" w:type="dxa"/>
            <w:vMerge w:val="continue"/>
          </w:tcPr>
          <w:p>
            <w:pPr>
              <w:spacing w:line="240" w:lineRule="exact"/>
              <w:jc w:val="center"/>
              <w:rPr>
                <w:rFonts w:ascii="??_GB2312" w:hAnsi="宋体" w:eastAsia="Times New Roman"/>
                <w:b/>
                <w:bCs/>
                <w:sz w:val="18"/>
                <w:szCs w:val="18"/>
              </w:rPr>
            </w:pPr>
          </w:p>
        </w:tc>
        <w:tc>
          <w:tcPr>
            <w:tcW w:w="2154" w:type="dxa"/>
            <w:vMerge w:val="continue"/>
            <w:vAlign w:val="center"/>
          </w:tcPr>
          <w:p>
            <w:pPr>
              <w:spacing w:line="240" w:lineRule="exact"/>
              <w:jc w:val="center"/>
              <w:rPr>
                <w:rFonts w:ascii="??_GB2312" w:hAnsi="宋体" w:eastAsia="Times New Roman"/>
                <w:b/>
                <w:bCs/>
                <w:sz w:val="18"/>
                <w:szCs w:val="18"/>
              </w:rPr>
            </w:pPr>
          </w:p>
        </w:tc>
        <w:tc>
          <w:tcPr>
            <w:tcW w:w="606" w:type="dxa"/>
            <w:vAlign w:val="center"/>
          </w:tcPr>
          <w:p>
            <w:pPr>
              <w:spacing w:line="240" w:lineRule="exact"/>
              <w:jc w:val="center"/>
              <w:rPr>
                <w:rFonts w:ascii="??_GB2312" w:hAnsi="宋体" w:eastAsia="Times New Roman"/>
                <w:b/>
                <w:bCs/>
                <w:sz w:val="18"/>
                <w:szCs w:val="18"/>
              </w:rPr>
            </w:pPr>
            <w:r>
              <w:rPr>
                <w:rFonts w:ascii="??_GB2312" w:hAnsi="宋体" w:eastAsia="Times New Roman"/>
                <w:b/>
                <w:bCs/>
                <w:sz w:val="18"/>
                <w:szCs w:val="18"/>
              </w:rPr>
              <w:t>报考人数</w:t>
            </w:r>
          </w:p>
        </w:tc>
        <w:tc>
          <w:tcPr>
            <w:tcW w:w="587" w:type="dxa"/>
            <w:vAlign w:val="center"/>
          </w:tcPr>
          <w:p>
            <w:pPr>
              <w:spacing w:line="240" w:lineRule="exact"/>
              <w:jc w:val="center"/>
              <w:rPr>
                <w:rFonts w:ascii="??_GB2312" w:hAnsi="宋体" w:eastAsia="Times New Roman"/>
                <w:b/>
                <w:bCs/>
                <w:sz w:val="18"/>
                <w:szCs w:val="18"/>
              </w:rPr>
            </w:pPr>
            <w:r>
              <w:rPr>
                <w:rFonts w:ascii="??_GB2312" w:hAnsi="宋体" w:eastAsia="Times New Roman"/>
                <w:b/>
                <w:bCs/>
                <w:sz w:val="18"/>
                <w:szCs w:val="18"/>
              </w:rPr>
              <w:t>招生计划</w:t>
            </w:r>
          </w:p>
        </w:tc>
        <w:tc>
          <w:tcPr>
            <w:tcW w:w="607" w:type="dxa"/>
            <w:vAlign w:val="center"/>
          </w:tcPr>
          <w:p>
            <w:pPr>
              <w:spacing w:line="240" w:lineRule="exact"/>
              <w:jc w:val="center"/>
              <w:rPr>
                <w:rFonts w:ascii="??_GB2312" w:hAnsi="宋体" w:eastAsia="Times New Roman"/>
                <w:b/>
                <w:bCs/>
                <w:sz w:val="18"/>
                <w:szCs w:val="18"/>
              </w:rPr>
            </w:pPr>
            <w:r>
              <w:rPr>
                <w:rFonts w:ascii="??_GB2312" w:hAnsi="宋体" w:eastAsia="Times New Roman"/>
                <w:b/>
                <w:bCs/>
                <w:sz w:val="18"/>
                <w:szCs w:val="18"/>
              </w:rPr>
              <w:t>录取数</w:t>
            </w:r>
          </w:p>
        </w:tc>
        <w:tc>
          <w:tcPr>
            <w:tcW w:w="2486" w:type="dxa"/>
            <w:vAlign w:val="center"/>
          </w:tcPr>
          <w:p>
            <w:pPr>
              <w:spacing w:line="240" w:lineRule="exact"/>
              <w:jc w:val="center"/>
              <w:rPr>
                <w:rFonts w:ascii="??_GB2312" w:hAnsi="宋体" w:eastAsia="Times New Roman"/>
                <w:b/>
                <w:bCs/>
                <w:sz w:val="18"/>
                <w:szCs w:val="18"/>
              </w:rPr>
            </w:pPr>
            <w:r>
              <w:rPr>
                <w:rFonts w:ascii="??_GB2312" w:hAnsi="宋体" w:eastAsia="Times New Roman"/>
                <w:b/>
                <w:bCs/>
                <w:sz w:val="18"/>
                <w:szCs w:val="18"/>
              </w:rPr>
              <w:t>201</w:t>
            </w:r>
            <w:r>
              <w:rPr>
                <w:rFonts w:hint="eastAsia" w:ascii="??_GB2312" w:hAnsi="宋体"/>
                <w:b/>
                <w:bCs/>
                <w:sz w:val="18"/>
                <w:szCs w:val="18"/>
              </w:rPr>
              <w:t>9</w:t>
            </w:r>
            <w:r>
              <w:rPr>
                <w:rFonts w:ascii="??_GB2312" w:hAnsi="宋体" w:eastAsia="Times New Roman"/>
                <w:b/>
                <w:bCs/>
                <w:sz w:val="18"/>
                <w:szCs w:val="18"/>
              </w:rPr>
              <w:t>年录取分数线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jc w:val="center"/>
        </w:trPr>
        <w:tc>
          <w:tcPr>
            <w:tcW w:w="1670" w:type="dxa"/>
            <w:vAlign w:val="center"/>
          </w:tcPr>
          <w:p>
            <w:pPr>
              <w:spacing w:line="240" w:lineRule="exact"/>
              <w:jc w:val="center"/>
              <w:rPr>
                <w:rFonts w:ascii="??_GB2312" w:hAnsi="宋体" w:eastAsia="Times New Roman"/>
                <w:bCs/>
                <w:sz w:val="18"/>
                <w:szCs w:val="18"/>
              </w:rPr>
            </w:pPr>
            <w:r>
              <w:rPr>
                <w:rFonts w:ascii="??_GB2312" w:hAnsi="宋体" w:eastAsia="Times New Roman"/>
                <w:bCs/>
                <w:sz w:val="18"/>
                <w:szCs w:val="18"/>
              </w:rPr>
              <w:t>汉语言文学（师范）</w:t>
            </w:r>
          </w:p>
        </w:tc>
        <w:tc>
          <w:tcPr>
            <w:tcW w:w="720" w:type="dxa"/>
            <w:vAlign w:val="center"/>
          </w:tcPr>
          <w:p>
            <w:pPr>
              <w:spacing w:line="240" w:lineRule="exact"/>
              <w:jc w:val="center"/>
              <w:rPr>
                <w:rFonts w:ascii="??_GB2312" w:hAnsi="宋体"/>
                <w:b/>
                <w:bCs/>
                <w:color w:val="000000" w:themeColor="text1"/>
                <w:sz w:val="18"/>
                <w:szCs w:val="18"/>
                <w:u w:val="single"/>
                <w14:textFill>
                  <w14:solidFill>
                    <w14:schemeClr w14:val="tx1"/>
                  </w14:solidFill>
                </w14:textFill>
              </w:rPr>
            </w:pPr>
            <w:r>
              <w:rPr>
                <w:rFonts w:hint="eastAsia" w:ascii="??_GB2312" w:hAnsi="宋体"/>
                <w:b/>
                <w:bCs/>
                <w:color w:val="000000" w:themeColor="text1"/>
                <w:sz w:val="18"/>
                <w:szCs w:val="18"/>
                <w:u w:val="single"/>
                <w14:textFill>
                  <w14:solidFill>
                    <w14:schemeClr w14:val="tx1"/>
                  </w14:solidFill>
                </w14:textFill>
              </w:rPr>
              <w:t>250</w:t>
            </w:r>
          </w:p>
        </w:tc>
        <w:tc>
          <w:tcPr>
            <w:tcW w:w="866" w:type="dxa"/>
            <w:vAlign w:val="center"/>
          </w:tcPr>
          <w:p>
            <w:pPr>
              <w:spacing w:line="240" w:lineRule="exact"/>
              <w:jc w:val="center"/>
              <w:rPr>
                <w:rFonts w:ascii="??_GB2312" w:hAnsi="宋体" w:eastAsia="Times New Roman"/>
                <w:sz w:val="18"/>
                <w:szCs w:val="18"/>
              </w:rPr>
            </w:pPr>
            <w:r>
              <w:rPr>
                <w:rFonts w:hint="eastAsia" w:ascii="??_GB2312" w:hAnsi="宋体"/>
                <w:sz w:val="18"/>
                <w:szCs w:val="18"/>
              </w:rPr>
              <w:t>4590</w:t>
            </w:r>
          </w:p>
        </w:tc>
        <w:tc>
          <w:tcPr>
            <w:tcW w:w="2154" w:type="dxa"/>
            <w:vAlign w:val="center"/>
          </w:tcPr>
          <w:p>
            <w:pPr>
              <w:spacing w:line="240" w:lineRule="exact"/>
              <w:jc w:val="center"/>
              <w:rPr>
                <w:rFonts w:ascii="??_GB2312" w:hAnsi="宋体" w:eastAsia="Times New Roman"/>
                <w:bCs/>
                <w:sz w:val="18"/>
                <w:szCs w:val="18"/>
              </w:rPr>
            </w:pPr>
            <w:r>
              <w:rPr>
                <w:rFonts w:ascii="??_GB2312" w:hAnsi="宋体" w:eastAsia="Times New Roman"/>
                <w:sz w:val="18"/>
                <w:szCs w:val="18"/>
              </w:rPr>
              <w:t>汉语类、文秘类</w:t>
            </w:r>
            <w:r>
              <w:rPr>
                <w:rFonts w:hint="eastAsia" w:ascii="??_GB2312" w:hAnsi="宋体"/>
                <w:sz w:val="18"/>
                <w:szCs w:val="18"/>
              </w:rPr>
              <w:t>专业</w:t>
            </w:r>
          </w:p>
        </w:tc>
        <w:tc>
          <w:tcPr>
            <w:tcW w:w="606" w:type="dxa"/>
            <w:vAlign w:val="center"/>
          </w:tcPr>
          <w:p>
            <w:pPr>
              <w:spacing w:line="240" w:lineRule="exact"/>
              <w:jc w:val="center"/>
              <w:rPr>
                <w:rFonts w:ascii="??_GB2312" w:hAnsi="宋体"/>
                <w:bCs/>
                <w:sz w:val="18"/>
                <w:szCs w:val="18"/>
              </w:rPr>
            </w:pPr>
            <w:r>
              <w:rPr>
                <w:rFonts w:hint="eastAsia" w:ascii="??_GB2312" w:hAnsi="宋体"/>
                <w:bCs/>
                <w:sz w:val="18"/>
                <w:szCs w:val="18"/>
              </w:rPr>
              <w:t>155</w:t>
            </w:r>
          </w:p>
        </w:tc>
        <w:tc>
          <w:tcPr>
            <w:tcW w:w="587" w:type="dxa"/>
            <w:vAlign w:val="center"/>
          </w:tcPr>
          <w:p>
            <w:pPr>
              <w:spacing w:line="240" w:lineRule="exact"/>
              <w:jc w:val="center"/>
              <w:rPr>
                <w:rFonts w:ascii="??_GB2312" w:hAnsi="宋体"/>
                <w:bCs/>
                <w:sz w:val="18"/>
                <w:szCs w:val="18"/>
              </w:rPr>
            </w:pPr>
            <w:r>
              <w:rPr>
                <w:rFonts w:hint="eastAsia" w:ascii="??_GB2312" w:hAnsi="宋体"/>
                <w:bCs/>
                <w:sz w:val="18"/>
                <w:szCs w:val="18"/>
              </w:rPr>
              <w:t>30</w:t>
            </w:r>
          </w:p>
        </w:tc>
        <w:tc>
          <w:tcPr>
            <w:tcW w:w="607" w:type="dxa"/>
            <w:vAlign w:val="center"/>
          </w:tcPr>
          <w:p>
            <w:pPr>
              <w:spacing w:line="240" w:lineRule="exact"/>
              <w:jc w:val="center"/>
              <w:rPr>
                <w:rFonts w:ascii="??_GB2312" w:hAnsi="宋体"/>
                <w:bCs/>
                <w:sz w:val="18"/>
                <w:szCs w:val="18"/>
              </w:rPr>
            </w:pPr>
            <w:r>
              <w:rPr>
                <w:rFonts w:hint="eastAsia" w:ascii="??_GB2312" w:hAnsi="宋体"/>
                <w:bCs/>
                <w:sz w:val="18"/>
                <w:szCs w:val="18"/>
              </w:rPr>
              <w:t>36</w:t>
            </w:r>
          </w:p>
        </w:tc>
        <w:tc>
          <w:tcPr>
            <w:tcW w:w="2486" w:type="dxa"/>
            <w:vAlign w:val="center"/>
          </w:tcPr>
          <w:p>
            <w:pPr>
              <w:spacing w:line="240" w:lineRule="exact"/>
              <w:jc w:val="center"/>
              <w:rPr>
                <w:rFonts w:ascii="??_GB2312" w:hAnsi="宋体"/>
                <w:sz w:val="18"/>
                <w:szCs w:val="18"/>
              </w:rPr>
            </w:pPr>
            <w:r>
              <w:rPr>
                <w:rFonts w:ascii="??_GB2312" w:hAnsi="宋体" w:eastAsia="Times New Roman"/>
                <w:sz w:val="18"/>
                <w:szCs w:val="18"/>
              </w:rPr>
              <w:t>五科总分3</w:t>
            </w:r>
            <w:r>
              <w:rPr>
                <w:rFonts w:hint="eastAsia" w:ascii="??_GB2312" w:hAnsi="宋体"/>
                <w:sz w:val="18"/>
                <w:szCs w:val="18"/>
              </w:rPr>
              <w:t>21</w:t>
            </w:r>
            <w:r>
              <w:rPr>
                <w:rFonts w:ascii="??_GB2312" w:hAnsi="宋体" w:eastAsia="Times New Roman"/>
                <w:sz w:val="18"/>
                <w:szCs w:val="18"/>
              </w:rPr>
              <w:t>/省统考三科</w:t>
            </w:r>
            <w:r>
              <w:rPr>
                <w:rFonts w:hint="eastAsia" w:ascii="??_GB2312" w:hAnsi="宋体"/>
                <w:sz w:val="18"/>
                <w:szCs w:val="18"/>
              </w:rPr>
              <w:t>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exact"/>
          <w:jc w:val="center"/>
        </w:trPr>
        <w:tc>
          <w:tcPr>
            <w:tcW w:w="1670" w:type="dxa"/>
            <w:vAlign w:val="center"/>
          </w:tcPr>
          <w:p>
            <w:pPr>
              <w:spacing w:line="240" w:lineRule="exact"/>
              <w:jc w:val="center"/>
              <w:rPr>
                <w:rFonts w:ascii="??_GB2312" w:hAnsi="宋体" w:eastAsia="Times New Roman"/>
                <w:bCs/>
                <w:sz w:val="18"/>
                <w:szCs w:val="18"/>
              </w:rPr>
            </w:pPr>
            <w:r>
              <w:rPr>
                <w:rFonts w:ascii="??_GB2312" w:hAnsi="宋体" w:eastAsia="Times New Roman"/>
                <w:bCs/>
                <w:sz w:val="18"/>
                <w:szCs w:val="18"/>
              </w:rPr>
              <w:t>英语（师范）</w:t>
            </w:r>
          </w:p>
        </w:tc>
        <w:tc>
          <w:tcPr>
            <w:tcW w:w="720" w:type="dxa"/>
            <w:vAlign w:val="center"/>
          </w:tcPr>
          <w:p>
            <w:pPr>
              <w:spacing w:line="240" w:lineRule="exact"/>
              <w:jc w:val="center"/>
              <w:rPr>
                <w:rFonts w:ascii="??_GB2312" w:hAnsi="宋体"/>
                <w:b/>
                <w:bCs/>
                <w:color w:val="000000" w:themeColor="text1"/>
                <w:sz w:val="18"/>
                <w:szCs w:val="18"/>
                <w:u w:val="single"/>
                <w14:textFill>
                  <w14:solidFill>
                    <w14:schemeClr w14:val="tx1"/>
                  </w14:solidFill>
                </w14:textFill>
              </w:rPr>
            </w:pPr>
            <w:r>
              <w:rPr>
                <w:rFonts w:hint="eastAsia" w:ascii="??_GB2312" w:hAnsi="宋体"/>
                <w:b/>
                <w:bCs/>
                <w:color w:val="000000" w:themeColor="text1"/>
                <w:sz w:val="18"/>
                <w:szCs w:val="18"/>
                <w:u w:val="single"/>
                <w14:textFill>
                  <w14:solidFill>
                    <w14:schemeClr w14:val="tx1"/>
                  </w14:solidFill>
                </w14:textFill>
              </w:rPr>
              <w:t>265</w:t>
            </w:r>
          </w:p>
        </w:tc>
        <w:tc>
          <w:tcPr>
            <w:tcW w:w="866" w:type="dxa"/>
            <w:vAlign w:val="center"/>
          </w:tcPr>
          <w:p>
            <w:pPr>
              <w:spacing w:line="240" w:lineRule="exact"/>
              <w:jc w:val="center"/>
              <w:rPr>
                <w:rFonts w:ascii="??_GB2312" w:hAnsi="宋体" w:eastAsia="Times New Roman"/>
                <w:sz w:val="18"/>
                <w:szCs w:val="18"/>
              </w:rPr>
            </w:pPr>
            <w:r>
              <w:rPr>
                <w:rFonts w:hint="eastAsia" w:ascii="??_GB2312" w:hAnsi="宋体"/>
                <w:sz w:val="18"/>
                <w:szCs w:val="18"/>
              </w:rPr>
              <w:t>5190</w:t>
            </w:r>
          </w:p>
        </w:tc>
        <w:tc>
          <w:tcPr>
            <w:tcW w:w="2154" w:type="dxa"/>
            <w:vAlign w:val="center"/>
          </w:tcPr>
          <w:p>
            <w:pPr>
              <w:spacing w:line="240" w:lineRule="exact"/>
              <w:jc w:val="center"/>
              <w:rPr>
                <w:rFonts w:ascii="??_GB2312" w:hAnsi="宋体" w:eastAsia="Times New Roman"/>
                <w:sz w:val="18"/>
                <w:szCs w:val="18"/>
              </w:rPr>
            </w:pPr>
            <w:r>
              <w:rPr>
                <w:rFonts w:hint="eastAsia" w:ascii="??_GB2312" w:hAnsi="Gungsuh"/>
                <w:sz w:val="18"/>
                <w:szCs w:val="18"/>
              </w:rPr>
              <w:t>英语类</w:t>
            </w:r>
            <w:r>
              <w:rPr>
                <w:rFonts w:hint="eastAsia" w:ascii="??_GB2312" w:hAnsi="宋体"/>
                <w:sz w:val="18"/>
                <w:szCs w:val="18"/>
              </w:rPr>
              <w:t>专业</w:t>
            </w:r>
          </w:p>
        </w:tc>
        <w:tc>
          <w:tcPr>
            <w:tcW w:w="606" w:type="dxa"/>
            <w:vAlign w:val="center"/>
          </w:tcPr>
          <w:p>
            <w:pPr>
              <w:spacing w:line="240" w:lineRule="exact"/>
              <w:jc w:val="center"/>
              <w:rPr>
                <w:rFonts w:ascii="??_GB2312" w:hAnsi="宋体"/>
                <w:bCs/>
                <w:sz w:val="18"/>
                <w:szCs w:val="18"/>
              </w:rPr>
            </w:pPr>
            <w:r>
              <w:rPr>
                <w:rFonts w:hint="eastAsia" w:ascii="??_GB2312" w:hAnsi="宋体"/>
                <w:bCs/>
                <w:sz w:val="18"/>
                <w:szCs w:val="18"/>
              </w:rPr>
              <w:t>642</w:t>
            </w:r>
          </w:p>
        </w:tc>
        <w:tc>
          <w:tcPr>
            <w:tcW w:w="587" w:type="dxa"/>
            <w:vAlign w:val="center"/>
          </w:tcPr>
          <w:p>
            <w:pPr>
              <w:spacing w:line="240" w:lineRule="exact"/>
              <w:jc w:val="center"/>
              <w:rPr>
                <w:rFonts w:ascii="??_GB2312" w:hAnsi="宋体"/>
                <w:bCs/>
                <w:sz w:val="18"/>
                <w:szCs w:val="18"/>
              </w:rPr>
            </w:pPr>
            <w:r>
              <w:rPr>
                <w:rFonts w:hint="eastAsia" w:ascii="??_GB2312" w:hAnsi="宋体"/>
                <w:bCs/>
                <w:sz w:val="18"/>
                <w:szCs w:val="18"/>
              </w:rPr>
              <w:t>45</w:t>
            </w:r>
          </w:p>
        </w:tc>
        <w:tc>
          <w:tcPr>
            <w:tcW w:w="607" w:type="dxa"/>
            <w:vAlign w:val="center"/>
          </w:tcPr>
          <w:p>
            <w:pPr>
              <w:spacing w:line="240" w:lineRule="exact"/>
              <w:jc w:val="center"/>
              <w:rPr>
                <w:rFonts w:ascii="??_GB2312" w:hAnsi="宋体"/>
                <w:bCs/>
                <w:sz w:val="18"/>
                <w:szCs w:val="18"/>
              </w:rPr>
            </w:pPr>
            <w:r>
              <w:rPr>
                <w:rFonts w:hint="eastAsia" w:ascii="??_GB2312" w:hAnsi="宋体"/>
                <w:bCs/>
                <w:sz w:val="18"/>
                <w:szCs w:val="18"/>
              </w:rPr>
              <w:t>47</w:t>
            </w:r>
          </w:p>
        </w:tc>
        <w:tc>
          <w:tcPr>
            <w:tcW w:w="2486" w:type="dxa"/>
            <w:vAlign w:val="center"/>
          </w:tcPr>
          <w:p>
            <w:pPr>
              <w:spacing w:line="240" w:lineRule="exact"/>
              <w:jc w:val="center"/>
              <w:rPr>
                <w:rFonts w:ascii="??_GB2312" w:hAnsi="宋体"/>
                <w:sz w:val="18"/>
                <w:szCs w:val="18"/>
              </w:rPr>
            </w:pPr>
            <w:r>
              <w:rPr>
                <w:rFonts w:ascii="??_GB2312" w:hAnsi="宋体" w:eastAsia="Times New Roman"/>
                <w:sz w:val="18"/>
                <w:szCs w:val="18"/>
              </w:rPr>
              <w:t>五科总分</w:t>
            </w:r>
            <w:r>
              <w:rPr>
                <w:rFonts w:hint="eastAsia" w:ascii="??_GB2312" w:hAnsi="宋体"/>
                <w:sz w:val="18"/>
                <w:szCs w:val="18"/>
              </w:rPr>
              <w:t>323</w:t>
            </w:r>
            <w:r>
              <w:rPr>
                <w:rFonts w:ascii="??_GB2312" w:hAnsi="宋体" w:eastAsia="Times New Roman"/>
                <w:sz w:val="18"/>
                <w:szCs w:val="18"/>
              </w:rPr>
              <w:t>/省统考二科</w:t>
            </w:r>
            <w:r>
              <w:rPr>
                <w:rFonts w:hint="eastAsia" w:ascii="??_GB2312" w:hAnsi="宋体"/>
                <w:sz w:val="18"/>
                <w:szCs w:val="18"/>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exact"/>
          <w:jc w:val="center"/>
        </w:trPr>
        <w:tc>
          <w:tcPr>
            <w:tcW w:w="1670" w:type="dxa"/>
            <w:vAlign w:val="center"/>
          </w:tcPr>
          <w:p>
            <w:pPr>
              <w:spacing w:line="240" w:lineRule="exact"/>
              <w:jc w:val="center"/>
              <w:rPr>
                <w:rFonts w:ascii="??_GB2312" w:hAnsi="宋体" w:eastAsia="Times New Roman"/>
                <w:bCs/>
                <w:sz w:val="18"/>
                <w:szCs w:val="18"/>
              </w:rPr>
            </w:pPr>
            <w:r>
              <w:rPr>
                <w:rFonts w:ascii="??_GB2312" w:hAnsi="宋体" w:eastAsia="Times New Roman"/>
                <w:bCs/>
                <w:sz w:val="18"/>
                <w:szCs w:val="18"/>
              </w:rPr>
              <w:t>小学教育</w:t>
            </w:r>
            <w:r>
              <w:rPr>
                <w:rFonts w:ascii="??_GB2312" w:hAnsi="宋体" w:eastAsia="Times New Roman" w:cs="宋体"/>
                <w:bCs/>
                <w:sz w:val="18"/>
                <w:szCs w:val="18"/>
              </w:rPr>
              <w:t>（师范）</w:t>
            </w:r>
          </w:p>
        </w:tc>
        <w:tc>
          <w:tcPr>
            <w:tcW w:w="720" w:type="dxa"/>
            <w:vAlign w:val="center"/>
          </w:tcPr>
          <w:p>
            <w:pPr>
              <w:spacing w:line="240" w:lineRule="exact"/>
              <w:jc w:val="center"/>
              <w:rPr>
                <w:rFonts w:ascii="??_GB2312" w:hAnsi="宋体"/>
                <w:b/>
                <w:bCs/>
                <w:color w:val="000000" w:themeColor="text1"/>
                <w:sz w:val="18"/>
                <w:szCs w:val="18"/>
                <w:u w:val="single"/>
                <w14:textFill>
                  <w14:solidFill>
                    <w14:schemeClr w14:val="tx1"/>
                  </w14:solidFill>
                </w14:textFill>
              </w:rPr>
            </w:pPr>
            <w:r>
              <w:rPr>
                <w:rFonts w:hint="eastAsia" w:ascii="??_GB2312" w:hAnsi="宋体"/>
                <w:b/>
                <w:bCs/>
                <w:color w:val="000000" w:themeColor="text1"/>
                <w:sz w:val="18"/>
                <w:szCs w:val="18"/>
                <w:u w:val="single"/>
                <w14:textFill>
                  <w14:solidFill>
                    <w14:schemeClr w14:val="tx1"/>
                  </w14:solidFill>
                </w14:textFill>
              </w:rPr>
              <w:t>155</w:t>
            </w:r>
          </w:p>
        </w:tc>
        <w:tc>
          <w:tcPr>
            <w:tcW w:w="866" w:type="dxa"/>
            <w:vAlign w:val="center"/>
          </w:tcPr>
          <w:p>
            <w:pPr>
              <w:spacing w:line="240" w:lineRule="exact"/>
              <w:jc w:val="center"/>
              <w:rPr>
                <w:rFonts w:ascii="??_GB2312" w:hAnsi="宋体" w:eastAsia="Times New Roman"/>
                <w:sz w:val="18"/>
                <w:szCs w:val="18"/>
              </w:rPr>
            </w:pPr>
            <w:r>
              <w:rPr>
                <w:rFonts w:hint="eastAsia" w:ascii="??_GB2312" w:hAnsi="宋体"/>
                <w:sz w:val="18"/>
                <w:szCs w:val="18"/>
              </w:rPr>
              <w:t>4590</w:t>
            </w:r>
          </w:p>
        </w:tc>
        <w:tc>
          <w:tcPr>
            <w:tcW w:w="2154" w:type="dxa"/>
            <w:vAlign w:val="center"/>
          </w:tcPr>
          <w:p>
            <w:pPr>
              <w:spacing w:line="240" w:lineRule="exact"/>
              <w:jc w:val="center"/>
              <w:rPr>
                <w:rFonts w:ascii="??_GB2312" w:hAnsi="宋体" w:eastAsia="Times New Roman"/>
                <w:sz w:val="18"/>
                <w:szCs w:val="18"/>
              </w:rPr>
            </w:pPr>
            <w:r>
              <w:rPr>
                <w:rFonts w:ascii="??_GB2312" w:hAnsi="宋体" w:eastAsia="Times New Roman"/>
                <w:sz w:val="18"/>
                <w:szCs w:val="18"/>
              </w:rPr>
              <w:t>语文教育、</w:t>
            </w:r>
            <w:r>
              <w:rPr>
                <w:rFonts w:hint="eastAsia" w:ascii="??_GB2312" w:hAnsi="宋体"/>
                <w:sz w:val="18"/>
                <w:szCs w:val="18"/>
              </w:rPr>
              <w:t>数学教育、英语教育、</w:t>
            </w:r>
            <w:r>
              <w:rPr>
                <w:rFonts w:ascii="??_GB2312" w:hAnsi="宋体" w:eastAsia="Times New Roman"/>
                <w:sz w:val="18"/>
                <w:szCs w:val="18"/>
              </w:rPr>
              <w:t>初等教育、学前教育等师范类专业</w:t>
            </w:r>
          </w:p>
        </w:tc>
        <w:tc>
          <w:tcPr>
            <w:tcW w:w="606" w:type="dxa"/>
            <w:vAlign w:val="center"/>
          </w:tcPr>
          <w:p>
            <w:pPr>
              <w:spacing w:line="240" w:lineRule="exact"/>
              <w:jc w:val="center"/>
              <w:rPr>
                <w:rFonts w:ascii="??_GB2312" w:hAnsi="宋体"/>
                <w:bCs/>
                <w:sz w:val="18"/>
                <w:szCs w:val="18"/>
              </w:rPr>
            </w:pPr>
            <w:r>
              <w:rPr>
                <w:rFonts w:hint="eastAsia" w:ascii="??_GB2312" w:hAnsi="宋体"/>
                <w:bCs/>
                <w:sz w:val="18"/>
                <w:szCs w:val="18"/>
              </w:rPr>
              <w:t>310</w:t>
            </w:r>
          </w:p>
        </w:tc>
        <w:tc>
          <w:tcPr>
            <w:tcW w:w="587" w:type="dxa"/>
            <w:vAlign w:val="center"/>
          </w:tcPr>
          <w:p>
            <w:pPr>
              <w:spacing w:line="240" w:lineRule="exact"/>
              <w:jc w:val="center"/>
              <w:rPr>
                <w:rFonts w:ascii="??_GB2312" w:hAnsi="宋体"/>
                <w:bCs/>
                <w:sz w:val="18"/>
                <w:szCs w:val="18"/>
              </w:rPr>
            </w:pPr>
            <w:r>
              <w:rPr>
                <w:rFonts w:hint="eastAsia" w:ascii="??_GB2312" w:hAnsi="宋体"/>
                <w:bCs/>
                <w:sz w:val="18"/>
                <w:szCs w:val="18"/>
              </w:rPr>
              <w:t>35</w:t>
            </w:r>
          </w:p>
        </w:tc>
        <w:tc>
          <w:tcPr>
            <w:tcW w:w="607" w:type="dxa"/>
            <w:vAlign w:val="center"/>
          </w:tcPr>
          <w:p>
            <w:pPr>
              <w:spacing w:line="240" w:lineRule="exact"/>
              <w:jc w:val="center"/>
              <w:rPr>
                <w:rFonts w:ascii="??_GB2312" w:hAnsi="宋体"/>
                <w:bCs/>
                <w:sz w:val="18"/>
                <w:szCs w:val="18"/>
              </w:rPr>
            </w:pPr>
            <w:r>
              <w:rPr>
                <w:rFonts w:hint="eastAsia" w:ascii="??_GB2312" w:hAnsi="宋体"/>
                <w:bCs/>
                <w:sz w:val="18"/>
                <w:szCs w:val="18"/>
              </w:rPr>
              <w:t>40</w:t>
            </w:r>
          </w:p>
        </w:tc>
        <w:tc>
          <w:tcPr>
            <w:tcW w:w="2486" w:type="dxa"/>
            <w:vAlign w:val="center"/>
          </w:tcPr>
          <w:p>
            <w:pPr>
              <w:spacing w:line="240" w:lineRule="exact"/>
              <w:jc w:val="center"/>
              <w:rPr>
                <w:rFonts w:ascii="??_GB2312" w:hAnsi="宋体"/>
                <w:sz w:val="18"/>
                <w:szCs w:val="18"/>
              </w:rPr>
            </w:pPr>
            <w:r>
              <w:rPr>
                <w:rFonts w:ascii="??_GB2312" w:hAnsi="宋体" w:eastAsia="Times New Roman"/>
                <w:sz w:val="18"/>
                <w:szCs w:val="18"/>
              </w:rPr>
              <w:t>五科总分</w:t>
            </w:r>
            <w:r>
              <w:rPr>
                <w:rFonts w:hint="eastAsia" w:ascii="??_GB2312" w:hAnsi="宋体"/>
                <w:sz w:val="18"/>
                <w:szCs w:val="18"/>
              </w:rPr>
              <w:t>333</w:t>
            </w:r>
            <w:r>
              <w:rPr>
                <w:rFonts w:ascii="??_GB2312" w:hAnsi="宋体" w:eastAsia="Times New Roman"/>
                <w:sz w:val="18"/>
                <w:szCs w:val="18"/>
              </w:rPr>
              <w:t>/省统考三科</w:t>
            </w:r>
            <w:r>
              <w:rPr>
                <w:rFonts w:hint="eastAsia" w:ascii="??_GB2312" w:hAnsi="宋体"/>
                <w:sz w:val="18"/>
                <w:szCs w:val="18"/>
              </w:rPr>
              <w:t>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exact"/>
          <w:jc w:val="center"/>
        </w:trPr>
        <w:tc>
          <w:tcPr>
            <w:tcW w:w="1670" w:type="dxa"/>
            <w:vAlign w:val="center"/>
          </w:tcPr>
          <w:p>
            <w:pPr>
              <w:spacing w:line="240" w:lineRule="exact"/>
              <w:jc w:val="center"/>
              <w:rPr>
                <w:rFonts w:ascii="??_GB2312" w:hAnsi="宋体" w:eastAsia="Times New Roman"/>
                <w:bCs/>
                <w:sz w:val="18"/>
                <w:szCs w:val="18"/>
              </w:rPr>
            </w:pPr>
            <w:r>
              <w:rPr>
                <w:rFonts w:ascii="??_GB2312" w:hAnsi="宋体" w:eastAsia="Times New Roman"/>
                <w:bCs/>
                <w:sz w:val="18"/>
                <w:szCs w:val="18"/>
              </w:rPr>
              <w:t>学前教育</w:t>
            </w:r>
            <w:r>
              <w:rPr>
                <w:rFonts w:hint="eastAsia" w:ascii="??_GB2312" w:hAnsi="宋体"/>
                <w:bCs/>
                <w:sz w:val="18"/>
                <w:szCs w:val="18"/>
              </w:rPr>
              <w:t>（</w:t>
            </w:r>
            <w:r>
              <w:rPr>
                <w:rFonts w:ascii="??_GB2312" w:hAnsi="宋体" w:eastAsia="Times New Roman"/>
                <w:bCs/>
                <w:sz w:val="18"/>
                <w:szCs w:val="18"/>
              </w:rPr>
              <w:t>师范</w:t>
            </w:r>
            <w:r>
              <w:rPr>
                <w:rFonts w:hint="eastAsia" w:ascii="??_GB2312" w:hAnsi="宋体"/>
                <w:bCs/>
                <w:sz w:val="18"/>
                <w:szCs w:val="18"/>
              </w:rPr>
              <w:t>）</w:t>
            </w:r>
          </w:p>
        </w:tc>
        <w:tc>
          <w:tcPr>
            <w:tcW w:w="720" w:type="dxa"/>
            <w:vAlign w:val="center"/>
          </w:tcPr>
          <w:p>
            <w:pPr>
              <w:spacing w:line="240" w:lineRule="exact"/>
              <w:jc w:val="center"/>
              <w:rPr>
                <w:rFonts w:ascii="??_GB2312" w:hAnsi="宋体"/>
                <w:b/>
                <w:bCs/>
                <w:color w:val="000000" w:themeColor="text1"/>
                <w:sz w:val="18"/>
                <w:szCs w:val="18"/>
                <w:u w:val="single"/>
                <w14:textFill>
                  <w14:solidFill>
                    <w14:schemeClr w14:val="tx1"/>
                  </w14:solidFill>
                </w14:textFill>
              </w:rPr>
            </w:pPr>
            <w:r>
              <w:rPr>
                <w:rFonts w:hint="eastAsia" w:ascii="??_GB2312" w:hAnsi="宋体"/>
                <w:b/>
                <w:bCs/>
                <w:color w:val="000000" w:themeColor="text1"/>
                <w:sz w:val="18"/>
                <w:szCs w:val="18"/>
                <w:u w:val="single"/>
                <w14:textFill>
                  <w14:solidFill>
                    <w14:schemeClr w14:val="tx1"/>
                  </w14:solidFill>
                </w14:textFill>
              </w:rPr>
              <w:t>100</w:t>
            </w:r>
          </w:p>
        </w:tc>
        <w:tc>
          <w:tcPr>
            <w:tcW w:w="866" w:type="dxa"/>
            <w:vAlign w:val="center"/>
          </w:tcPr>
          <w:p>
            <w:pPr>
              <w:spacing w:line="240" w:lineRule="exact"/>
              <w:jc w:val="center"/>
              <w:rPr>
                <w:rFonts w:ascii="??_GB2312" w:hAnsi="宋体"/>
                <w:sz w:val="18"/>
                <w:szCs w:val="18"/>
              </w:rPr>
            </w:pPr>
            <w:r>
              <w:rPr>
                <w:rFonts w:hint="eastAsia" w:ascii="??_GB2312" w:hAnsi="宋体"/>
                <w:sz w:val="18"/>
                <w:szCs w:val="18"/>
              </w:rPr>
              <w:t>4590</w:t>
            </w:r>
          </w:p>
        </w:tc>
        <w:tc>
          <w:tcPr>
            <w:tcW w:w="2154" w:type="dxa"/>
            <w:vAlign w:val="center"/>
          </w:tcPr>
          <w:p>
            <w:pPr>
              <w:spacing w:line="240" w:lineRule="exact"/>
              <w:jc w:val="center"/>
              <w:rPr>
                <w:rFonts w:ascii="??_GB2312" w:hAnsi="宋体" w:eastAsia="Times New Roman"/>
                <w:sz w:val="18"/>
                <w:szCs w:val="18"/>
              </w:rPr>
            </w:pPr>
            <w:r>
              <w:rPr>
                <w:rFonts w:ascii="??_GB2312" w:hAnsi="宋体" w:eastAsia="Times New Roman"/>
                <w:sz w:val="18"/>
                <w:szCs w:val="18"/>
              </w:rPr>
              <w:t>学前教育、早期教育、初等教育、艺术教育、音乐、美术等师范类专业</w:t>
            </w:r>
          </w:p>
        </w:tc>
        <w:tc>
          <w:tcPr>
            <w:tcW w:w="606" w:type="dxa"/>
            <w:vAlign w:val="center"/>
          </w:tcPr>
          <w:p>
            <w:pPr>
              <w:spacing w:line="240" w:lineRule="exact"/>
              <w:jc w:val="center"/>
              <w:rPr>
                <w:rFonts w:ascii="??_GB2312" w:hAnsi="宋体"/>
                <w:bCs/>
                <w:sz w:val="18"/>
                <w:szCs w:val="18"/>
              </w:rPr>
            </w:pPr>
            <w:r>
              <w:rPr>
                <w:rFonts w:hint="eastAsia" w:ascii="??_GB2312" w:hAnsi="宋体"/>
                <w:bCs/>
                <w:sz w:val="18"/>
                <w:szCs w:val="18"/>
              </w:rPr>
              <w:t>104</w:t>
            </w:r>
          </w:p>
        </w:tc>
        <w:tc>
          <w:tcPr>
            <w:tcW w:w="587" w:type="dxa"/>
            <w:vAlign w:val="center"/>
          </w:tcPr>
          <w:p>
            <w:pPr>
              <w:spacing w:line="240" w:lineRule="exact"/>
              <w:jc w:val="center"/>
              <w:rPr>
                <w:rFonts w:ascii="??_GB2312" w:hAnsi="宋体"/>
                <w:bCs/>
                <w:sz w:val="18"/>
                <w:szCs w:val="18"/>
              </w:rPr>
            </w:pPr>
            <w:r>
              <w:rPr>
                <w:rFonts w:hint="eastAsia" w:ascii="??_GB2312" w:hAnsi="宋体"/>
                <w:bCs/>
                <w:sz w:val="18"/>
                <w:szCs w:val="18"/>
              </w:rPr>
              <w:t>10</w:t>
            </w:r>
          </w:p>
        </w:tc>
        <w:tc>
          <w:tcPr>
            <w:tcW w:w="607" w:type="dxa"/>
            <w:vAlign w:val="center"/>
          </w:tcPr>
          <w:p>
            <w:pPr>
              <w:spacing w:line="240" w:lineRule="exact"/>
              <w:jc w:val="center"/>
              <w:rPr>
                <w:rFonts w:ascii="??_GB2312" w:hAnsi="宋体"/>
                <w:bCs/>
                <w:sz w:val="18"/>
                <w:szCs w:val="18"/>
              </w:rPr>
            </w:pPr>
            <w:r>
              <w:rPr>
                <w:rFonts w:hint="eastAsia" w:ascii="??_GB2312" w:hAnsi="宋体"/>
                <w:bCs/>
                <w:sz w:val="18"/>
                <w:szCs w:val="18"/>
              </w:rPr>
              <w:t>10</w:t>
            </w:r>
          </w:p>
        </w:tc>
        <w:tc>
          <w:tcPr>
            <w:tcW w:w="2486" w:type="dxa"/>
            <w:vAlign w:val="center"/>
          </w:tcPr>
          <w:p>
            <w:pPr>
              <w:spacing w:line="240" w:lineRule="exact"/>
              <w:jc w:val="center"/>
              <w:rPr>
                <w:rFonts w:ascii="??_GB2312" w:hAnsi="宋体"/>
                <w:sz w:val="18"/>
                <w:szCs w:val="18"/>
              </w:rPr>
            </w:pPr>
            <w:r>
              <w:rPr>
                <w:rFonts w:ascii="??_GB2312" w:hAnsi="宋体" w:eastAsia="Times New Roman"/>
                <w:sz w:val="18"/>
                <w:szCs w:val="18"/>
              </w:rPr>
              <w:t>五科总分</w:t>
            </w:r>
            <w:r>
              <w:rPr>
                <w:rFonts w:hint="eastAsia" w:ascii="??_GB2312" w:hAnsi="宋体"/>
                <w:sz w:val="18"/>
                <w:szCs w:val="18"/>
              </w:rPr>
              <w:t>352</w:t>
            </w:r>
            <w:r>
              <w:rPr>
                <w:rFonts w:ascii="??_GB2312" w:hAnsi="宋体" w:eastAsia="Times New Roman"/>
                <w:sz w:val="18"/>
                <w:szCs w:val="18"/>
              </w:rPr>
              <w:t>/省统考三科</w:t>
            </w:r>
            <w:r>
              <w:rPr>
                <w:rFonts w:hint="eastAsia" w:ascii="??_GB2312" w:hAnsi="宋体"/>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670" w:type="dxa"/>
            <w:vAlign w:val="center"/>
          </w:tcPr>
          <w:p>
            <w:pPr>
              <w:spacing w:line="240" w:lineRule="exact"/>
              <w:jc w:val="center"/>
              <w:rPr>
                <w:rFonts w:ascii="??_GB2312" w:hAnsi="宋体" w:eastAsia="Times New Roman"/>
                <w:bCs/>
                <w:sz w:val="18"/>
                <w:szCs w:val="18"/>
              </w:rPr>
            </w:pPr>
            <w:r>
              <w:rPr>
                <w:rFonts w:ascii="??_GB2312" w:hAnsi="宋体" w:eastAsia="Times New Roman"/>
                <w:bCs/>
                <w:sz w:val="18"/>
                <w:szCs w:val="18"/>
              </w:rPr>
              <w:t>生物科学</w:t>
            </w:r>
            <w:r>
              <w:rPr>
                <w:rFonts w:ascii="??_GB2312" w:hAnsi="宋体" w:eastAsia="Times New Roman" w:cs="宋体"/>
                <w:bCs/>
                <w:sz w:val="18"/>
                <w:szCs w:val="18"/>
              </w:rPr>
              <w:t>（师范）</w:t>
            </w:r>
          </w:p>
        </w:tc>
        <w:tc>
          <w:tcPr>
            <w:tcW w:w="720" w:type="dxa"/>
            <w:vAlign w:val="center"/>
          </w:tcPr>
          <w:p>
            <w:pPr>
              <w:spacing w:line="240" w:lineRule="exact"/>
              <w:jc w:val="center"/>
              <w:rPr>
                <w:rFonts w:ascii="??_GB2312" w:hAnsi="宋体"/>
                <w:b/>
                <w:bCs/>
                <w:color w:val="000000" w:themeColor="text1"/>
                <w:sz w:val="18"/>
                <w:szCs w:val="18"/>
                <w14:textFill>
                  <w14:solidFill>
                    <w14:schemeClr w14:val="tx1"/>
                  </w14:solidFill>
                </w14:textFill>
              </w:rPr>
            </w:pPr>
            <w:r>
              <w:rPr>
                <w:rFonts w:hint="eastAsia" w:ascii="??_GB2312" w:hAnsi="宋体"/>
                <w:b/>
                <w:bCs/>
                <w:color w:val="000000" w:themeColor="text1"/>
                <w:sz w:val="18"/>
                <w:szCs w:val="18"/>
                <w14:textFill>
                  <w14:solidFill>
                    <w14:schemeClr w14:val="tx1"/>
                  </w14:solidFill>
                </w14:textFill>
              </w:rPr>
              <w:t>100</w:t>
            </w:r>
          </w:p>
        </w:tc>
        <w:tc>
          <w:tcPr>
            <w:tcW w:w="866" w:type="dxa"/>
            <w:vAlign w:val="center"/>
          </w:tcPr>
          <w:p>
            <w:pPr>
              <w:spacing w:line="240" w:lineRule="exact"/>
              <w:jc w:val="center"/>
              <w:rPr>
                <w:rFonts w:ascii="??_GB2312" w:hAnsi="宋体" w:eastAsia="Times New Roman"/>
                <w:sz w:val="18"/>
                <w:szCs w:val="18"/>
              </w:rPr>
            </w:pPr>
            <w:r>
              <w:rPr>
                <w:rFonts w:hint="eastAsia" w:ascii="??_GB2312" w:hAnsi="宋体"/>
                <w:sz w:val="18"/>
                <w:szCs w:val="18"/>
              </w:rPr>
              <w:t>5190</w:t>
            </w:r>
          </w:p>
        </w:tc>
        <w:tc>
          <w:tcPr>
            <w:tcW w:w="2154" w:type="dxa"/>
            <w:vAlign w:val="center"/>
          </w:tcPr>
          <w:p>
            <w:pPr>
              <w:spacing w:line="240" w:lineRule="exact"/>
              <w:jc w:val="center"/>
              <w:rPr>
                <w:rFonts w:ascii="??_GB2312" w:hAnsi="宋体" w:eastAsia="Times New Roman"/>
                <w:sz w:val="18"/>
                <w:szCs w:val="18"/>
              </w:rPr>
            </w:pPr>
            <w:r>
              <w:rPr>
                <w:rFonts w:hint="eastAsia" w:ascii="??_GB2312" w:hAnsi="Gungsuh"/>
                <w:sz w:val="18"/>
                <w:szCs w:val="18"/>
              </w:rPr>
              <w:t>生物类（不招色盲色弱）</w:t>
            </w:r>
          </w:p>
        </w:tc>
        <w:tc>
          <w:tcPr>
            <w:tcW w:w="606" w:type="dxa"/>
            <w:vAlign w:val="center"/>
          </w:tcPr>
          <w:p>
            <w:pPr>
              <w:spacing w:line="240" w:lineRule="exact"/>
              <w:jc w:val="center"/>
              <w:rPr>
                <w:rFonts w:ascii="??_GB2312" w:hAnsi="宋体"/>
                <w:bCs/>
                <w:sz w:val="18"/>
                <w:szCs w:val="18"/>
              </w:rPr>
            </w:pPr>
            <w:r>
              <w:rPr>
                <w:rFonts w:hint="eastAsia" w:ascii="??_GB2312" w:hAnsi="宋体"/>
                <w:bCs/>
                <w:sz w:val="18"/>
                <w:szCs w:val="18"/>
              </w:rPr>
              <w:t>79</w:t>
            </w:r>
          </w:p>
        </w:tc>
        <w:tc>
          <w:tcPr>
            <w:tcW w:w="587" w:type="dxa"/>
            <w:vAlign w:val="center"/>
          </w:tcPr>
          <w:p>
            <w:pPr>
              <w:spacing w:line="240" w:lineRule="exact"/>
              <w:jc w:val="center"/>
              <w:rPr>
                <w:rFonts w:ascii="??_GB2312" w:hAnsi="宋体"/>
                <w:bCs/>
                <w:sz w:val="18"/>
                <w:szCs w:val="18"/>
              </w:rPr>
            </w:pPr>
            <w:r>
              <w:rPr>
                <w:rFonts w:hint="eastAsia" w:ascii="??_GB2312" w:hAnsi="宋体"/>
                <w:bCs/>
                <w:sz w:val="18"/>
                <w:szCs w:val="18"/>
              </w:rPr>
              <w:t>19</w:t>
            </w:r>
          </w:p>
        </w:tc>
        <w:tc>
          <w:tcPr>
            <w:tcW w:w="607" w:type="dxa"/>
            <w:vAlign w:val="center"/>
          </w:tcPr>
          <w:p>
            <w:pPr>
              <w:spacing w:line="240" w:lineRule="exact"/>
              <w:jc w:val="center"/>
              <w:rPr>
                <w:rFonts w:ascii="??_GB2312" w:hAnsi="宋体"/>
                <w:bCs/>
                <w:sz w:val="18"/>
                <w:szCs w:val="18"/>
              </w:rPr>
            </w:pPr>
            <w:r>
              <w:rPr>
                <w:rFonts w:hint="eastAsia" w:ascii="??_GB2312" w:hAnsi="宋体"/>
                <w:bCs/>
                <w:sz w:val="18"/>
                <w:szCs w:val="18"/>
              </w:rPr>
              <w:t>40</w:t>
            </w:r>
          </w:p>
        </w:tc>
        <w:tc>
          <w:tcPr>
            <w:tcW w:w="2486" w:type="dxa"/>
            <w:vAlign w:val="center"/>
          </w:tcPr>
          <w:p>
            <w:pPr>
              <w:spacing w:line="240" w:lineRule="exact"/>
              <w:jc w:val="center"/>
              <w:rPr>
                <w:rFonts w:ascii="??_GB2312" w:hAnsi="宋体" w:eastAsia="Times New Roman"/>
                <w:sz w:val="18"/>
                <w:szCs w:val="18"/>
              </w:rPr>
            </w:pPr>
            <w:r>
              <w:rPr>
                <w:rFonts w:ascii="??_GB2312" w:hAnsi="宋体" w:eastAsia="Times New Roman"/>
                <w:sz w:val="18"/>
                <w:szCs w:val="18"/>
              </w:rPr>
              <w:t>五科总分</w:t>
            </w:r>
            <w:r>
              <w:rPr>
                <w:rFonts w:hint="eastAsia" w:ascii="??_GB2312" w:hAnsi="宋体"/>
                <w:sz w:val="18"/>
                <w:szCs w:val="18"/>
              </w:rPr>
              <w:t>278</w:t>
            </w:r>
            <w:r>
              <w:rPr>
                <w:rFonts w:ascii="??_GB2312" w:hAnsi="宋体" w:eastAsia="Times New Roman"/>
                <w:sz w:val="18"/>
                <w:szCs w:val="18"/>
              </w:rPr>
              <w:t>/省统考三科</w:t>
            </w:r>
            <w:r>
              <w:rPr>
                <w:rFonts w:hint="eastAsia" w:ascii="??_GB2312" w:hAnsi="宋体"/>
                <w:sz w:val="18"/>
                <w:szCs w:val="18"/>
              </w:rPr>
              <w:t>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exact"/>
          <w:jc w:val="center"/>
        </w:trPr>
        <w:tc>
          <w:tcPr>
            <w:tcW w:w="1670" w:type="dxa"/>
            <w:vAlign w:val="center"/>
          </w:tcPr>
          <w:p>
            <w:pPr>
              <w:spacing w:line="240" w:lineRule="exact"/>
              <w:jc w:val="center"/>
              <w:rPr>
                <w:rFonts w:ascii="??_GB2312" w:hAnsi="宋体" w:eastAsia="Times New Roman"/>
                <w:bCs/>
                <w:sz w:val="18"/>
                <w:szCs w:val="18"/>
              </w:rPr>
            </w:pPr>
            <w:r>
              <w:rPr>
                <w:rFonts w:ascii="??_GB2312" w:hAnsi="宋体" w:eastAsia="Times New Roman"/>
                <w:bCs/>
                <w:sz w:val="18"/>
                <w:szCs w:val="18"/>
              </w:rPr>
              <w:t>生物</w:t>
            </w:r>
            <w:r>
              <w:rPr>
                <w:rFonts w:hint="eastAsia" w:ascii="??_GB2312" w:hAnsi="宋体"/>
                <w:bCs/>
                <w:sz w:val="18"/>
                <w:szCs w:val="18"/>
              </w:rPr>
              <w:t>技术</w:t>
            </w:r>
            <w:r>
              <w:rPr>
                <w:rFonts w:ascii="??_GB2312" w:hAnsi="宋体" w:eastAsia="Times New Roman" w:cs="宋体"/>
                <w:bCs/>
                <w:sz w:val="18"/>
                <w:szCs w:val="18"/>
              </w:rPr>
              <w:t>（师范）</w:t>
            </w:r>
          </w:p>
        </w:tc>
        <w:tc>
          <w:tcPr>
            <w:tcW w:w="720" w:type="dxa"/>
            <w:vAlign w:val="center"/>
          </w:tcPr>
          <w:p>
            <w:pPr>
              <w:spacing w:line="240" w:lineRule="exact"/>
              <w:jc w:val="center"/>
              <w:rPr>
                <w:rFonts w:ascii="??_GB2312" w:hAnsi="宋体"/>
                <w:b/>
                <w:bCs/>
                <w:color w:val="000000" w:themeColor="text1"/>
                <w:sz w:val="18"/>
                <w:szCs w:val="18"/>
                <w14:textFill>
                  <w14:solidFill>
                    <w14:schemeClr w14:val="tx1"/>
                  </w14:solidFill>
                </w14:textFill>
              </w:rPr>
            </w:pPr>
            <w:r>
              <w:rPr>
                <w:rFonts w:hint="eastAsia" w:ascii="??_GB2312" w:hAnsi="宋体"/>
                <w:b/>
                <w:bCs/>
                <w:color w:val="000000" w:themeColor="text1"/>
                <w:sz w:val="18"/>
                <w:szCs w:val="18"/>
                <w14:textFill>
                  <w14:solidFill>
                    <w14:schemeClr w14:val="tx1"/>
                  </w14:solidFill>
                </w14:textFill>
              </w:rPr>
              <w:t>40</w:t>
            </w:r>
          </w:p>
        </w:tc>
        <w:tc>
          <w:tcPr>
            <w:tcW w:w="866" w:type="dxa"/>
            <w:vAlign w:val="center"/>
          </w:tcPr>
          <w:p>
            <w:pPr>
              <w:spacing w:line="240" w:lineRule="exact"/>
              <w:jc w:val="center"/>
              <w:rPr>
                <w:rFonts w:ascii="??_GB2312" w:hAnsi="宋体"/>
                <w:sz w:val="18"/>
                <w:szCs w:val="18"/>
              </w:rPr>
            </w:pPr>
            <w:r>
              <w:rPr>
                <w:rFonts w:hint="eastAsia" w:ascii="??_GB2312" w:hAnsi="宋体"/>
                <w:sz w:val="18"/>
                <w:szCs w:val="18"/>
              </w:rPr>
              <w:t>5190</w:t>
            </w:r>
          </w:p>
        </w:tc>
        <w:tc>
          <w:tcPr>
            <w:tcW w:w="2154" w:type="dxa"/>
            <w:vAlign w:val="center"/>
          </w:tcPr>
          <w:p>
            <w:pPr>
              <w:spacing w:line="240" w:lineRule="exact"/>
              <w:jc w:val="center"/>
              <w:rPr>
                <w:rFonts w:ascii="??_GB2312" w:hAnsi="Gungsuh"/>
                <w:sz w:val="18"/>
                <w:szCs w:val="18"/>
              </w:rPr>
            </w:pPr>
            <w:r>
              <w:rPr>
                <w:rFonts w:hint="eastAsia" w:ascii="??_GB2312" w:hAnsi="Gungsuh"/>
                <w:sz w:val="18"/>
                <w:szCs w:val="18"/>
              </w:rPr>
              <w:t>生物类（不招色盲色弱）</w:t>
            </w:r>
          </w:p>
        </w:tc>
        <w:tc>
          <w:tcPr>
            <w:tcW w:w="606" w:type="dxa"/>
            <w:vAlign w:val="center"/>
          </w:tcPr>
          <w:p>
            <w:pPr>
              <w:spacing w:line="240" w:lineRule="exact"/>
              <w:jc w:val="center"/>
              <w:rPr>
                <w:rFonts w:ascii="??_GB2312" w:hAnsi="宋体"/>
                <w:bCs/>
                <w:sz w:val="18"/>
                <w:szCs w:val="18"/>
              </w:rPr>
            </w:pPr>
            <w:r>
              <w:rPr>
                <w:rFonts w:hint="eastAsia" w:ascii="??_GB2312" w:hAnsi="宋体"/>
                <w:bCs/>
                <w:sz w:val="18"/>
                <w:szCs w:val="18"/>
              </w:rPr>
              <w:t>49</w:t>
            </w:r>
          </w:p>
        </w:tc>
        <w:tc>
          <w:tcPr>
            <w:tcW w:w="587" w:type="dxa"/>
            <w:vAlign w:val="center"/>
          </w:tcPr>
          <w:p>
            <w:pPr>
              <w:spacing w:line="240" w:lineRule="exact"/>
              <w:jc w:val="center"/>
              <w:rPr>
                <w:rFonts w:ascii="??_GB2312" w:hAnsi="宋体"/>
                <w:bCs/>
                <w:sz w:val="18"/>
                <w:szCs w:val="18"/>
              </w:rPr>
            </w:pPr>
            <w:r>
              <w:rPr>
                <w:rFonts w:hint="eastAsia" w:ascii="??_GB2312" w:hAnsi="宋体"/>
                <w:bCs/>
                <w:sz w:val="18"/>
                <w:szCs w:val="18"/>
              </w:rPr>
              <w:t>19</w:t>
            </w:r>
          </w:p>
        </w:tc>
        <w:tc>
          <w:tcPr>
            <w:tcW w:w="607" w:type="dxa"/>
            <w:vAlign w:val="center"/>
          </w:tcPr>
          <w:p>
            <w:pPr>
              <w:spacing w:line="240" w:lineRule="exact"/>
              <w:jc w:val="center"/>
              <w:rPr>
                <w:rFonts w:ascii="??_GB2312" w:hAnsi="宋体"/>
                <w:bCs/>
                <w:sz w:val="18"/>
                <w:szCs w:val="18"/>
              </w:rPr>
            </w:pPr>
            <w:r>
              <w:rPr>
                <w:rFonts w:hint="eastAsia" w:ascii="??_GB2312" w:hAnsi="宋体"/>
                <w:bCs/>
                <w:sz w:val="18"/>
                <w:szCs w:val="18"/>
              </w:rPr>
              <w:t>23</w:t>
            </w:r>
          </w:p>
        </w:tc>
        <w:tc>
          <w:tcPr>
            <w:tcW w:w="2486" w:type="dxa"/>
            <w:vAlign w:val="center"/>
          </w:tcPr>
          <w:p>
            <w:pPr>
              <w:spacing w:line="240" w:lineRule="exact"/>
              <w:jc w:val="center"/>
              <w:rPr>
                <w:rFonts w:ascii="??_GB2312" w:hAnsi="宋体" w:eastAsia="Times New Roman"/>
                <w:sz w:val="18"/>
                <w:szCs w:val="18"/>
              </w:rPr>
            </w:pPr>
            <w:r>
              <w:rPr>
                <w:rFonts w:ascii="??_GB2312" w:hAnsi="宋体" w:eastAsia="Times New Roman"/>
                <w:sz w:val="18"/>
                <w:szCs w:val="18"/>
              </w:rPr>
              <w:t>五科总分</w:t>
            </w:r>
            <w:r>
              <w:rPr>
                <w:rFonts w:hint="eastAsia" w:ascii="??_GB2312" w:hAnsi="宋体"/>
                <w:sz w:val="18"/>
                <w:szCs w:val="18"/>
              </w:rPr>
              <w:t>306</w:t>
            </w:r>
            <w:r>
              <w:rPr>
                <w:rFonts w:ascii="??_GB2312" w:hAnsi="宋体" w:eastAsia="Times New Roman"/>
                <w:sz w:val="18"/>
                <w:szCs w:val="18"/>
              </w:rPr>
              <w:t>/省统考三科</w:t>
            </w:r>
            <w:r>
              <w:rPr>
                <w:rFonts w:hint="eastAsia" w:ascii="??_GB2312" w:hAnsi="宋体"/>
                <w:sz w:val="18"/>
                <w:szCs w:val="18"/>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exact"/>
          <w:jc w:val="center"/>
        </w:trPr>
        <w:tc>
          <w:tcPr>
            <w:tcW w:w="1670" w:type="dxa"/>
            <w:vAlign w:val="center"/>
          </w:tcPr>
          <w:p>
            <w:pPr>
              <w:spacing w:line="240" w:lineRule="exact"/>
              <w:jc w:val="center"/>
              <w:rPr>
                <w:rFonts w:ascii="??_GB2312" w:hAnsi="宋体" w:eastAsia="Times New Roman"/>
                <w:bCs/>
                <w:sz w:val="18"/>
                <w:szCs w:val="18"/>
              </w:rPr>
            </w:pPr>
            <w:r>
              <w:rPr>
                <w:rFonts w:hint="eastAsia" w:ascii="??_GB2312" w:hAnsi="宋体" w:eastAsia="Times New Roman"/>
                <w:bCs/>
                <w:sz w:val="18"/>
                <w:szCs w:val="18"/>
              </w:rPr>
              <w:t>国际经济与贸易</w:t>
            </w:r>
          </w:p>
        </w:tc>
        <w:tc>
          <w:tcPr>
            <w:tcW w:w="720" w:type="dxa"/>
            <w:vAlign w:val="center"/>
          </w:tcPr>
          <w:p>
            <w:pPr>
              <w:spacing w:line="240" w:lineRule="exact"/>
              <w:jc w:val="center"/>
              <w:rPr>
                <w:rFonts w:ascii="??_GB2312" w:hAnsi="宋体"/>
                <w:b/>
                <w:bCs/>
                <w:color w:val="000000" w:themeColor="text1"/>
                <w:sz w:val="18"/>
                <w:szCs w:val="18"/>
                <w:u w:val="single"/>
                <w14:textFill>
                  <w14:solidFill>
                    <w14:schemeClr w14:val="tx1"/>
                  </w14:solidFill>
                </w14:textFill>
              </w:rPr>
            </w:pPr>
            <w:r>
              <w:rPr>
                <w:rFonts w:hint="eastAsia" w:ascii="??_GB2312" w:hAnsi="宋体"/>
                <w:b/>
                <w:bCs/>
                <w:color w:val="000000" w:themeColor="text1"/>
                <w:sz w:val="18"/>
                <w:szCs w:val="18"/>
                <w:u w:val="single"/>
                <w14:textFill>
                  <w14:solidFill>
                    <w14:schemeClr w14:val="tx1"/>
                  </w14:solidFill>
                </w14:textFill>
              </w:rPr>
              <w:t>175</w:t>
            </w:r>
          </w:p>
        </w:tc>
        <w:tc>
          <w:tcPr>
            <w:tcW w:w="866" w:type="dxa"/>
            <w:vAlign w:val="center"/>
          </w:tcPr>
          <w:p>
            <w:pPr>
              <w:spacing w:line="240" w:lineRule="exact"/>
              <w:jc w:val="center"/>
              <w:rPr>
                <w:rFonts w:ascii="??_GB2312" w:hAnsi="宋体" w:eastAsia="Times New Roman"/>
                <w:sz w:val="18"/>
                <w:szCs w:val="18"/>
              </w:rPr>
            </w:pPr>
            <w:r>
              <w:rPr>
                <w:rFonts w:hint="eastAsia" w:ascii="??_GB2312" w:hAnsi="宋体"/>
                <w:sz w:val="18"/>
                <w:szCs w:val="18"/>
              </w:rPr>
              <w:t>4590</w:t>
            </w:r>
          </w:p>
        </w:tc>
        <w:tc>
          <w:tcPr>
            <w:tcW w:w="2154" w:type="dxa"/>
            <w:vAlign w:val="center"/>
          </w:tcPr>
          <w:p>
            <w:pPr>
              <w:spacing w:line="240" w:lineRule="exact"/>
              <w:jc w:val="center"/>
              <w:rPr>
                <w:rFonts w:ascii="??_GB2312" w:hAnsi="Gungsuh"/>
                <w:sz w:val="18"/>
                <w:szCs w:val="18"/>
              </w:rPr>
            </w:pPr>
            <w:r>
              <w:rPr>
                <w:rFonts w:hint="eastAsia" w:ascii="??_GB2312" w:hAnsi="Gungsuh"/>
                <w:sz w:val="18"/>
                <w:szCs w:val="18"/>
              </w:rPr>
              <w:t>经济与贸易类相关专业</w:t>
            </w:r>
          </w:p>
        </w:tc>
        <w:tc>
          <w:tcPr>
            <w:tcW w:w="606" w:type="dxa"/>
            <w:vAlign w:val="center"/>
          </w:tcPr>
          <w:p>
            <w:pPr>
              <w:spacing w:line="240" w:lineRule="exact"/>
              <w:jc w:val="center"/>
              <w:rPr>
                <w:rFonts w:ascii="??_GB2312" w:hAnsi="宋体"/>
                <w:bCs/>
                <w:sz w:val="18"/>
                <w:szCs w:val="18"/>
              </w:rPr>
            </w:pPr>
            <w:r>
              <w:rPr>
                <w:rFonts w:hint="eastAsia" w:ascii="??_GB2312" w:hAnsi="宋体"/>
                <w:bCs/>
                <w:sz w:val="18"/>
                <w:szCs w:val="18"/>
              </w:rPr>
              <w:t>—</w:t>
            </w:r>
          </w:p>
        </w:tc>
        <w:tc>
          <w:tcPr>
            <w:tcW w:w="587" w:type="dxa"/>
            <w:vAlign w:val="center"/>
          </w:tcPr>
          <w:p>
            <w:pPr>
              <w:spacing w:line="240" w:lineRule="exact"/>
              <w:jc w:val="center"/>
              <w:rPr>
                <w:rFonts w:ascii="??_GB2312" w:hAnsi="宋体"/>
                <w:bCs/>
                <w:sz w:val="18"/>
                <w:szCs w:val="18"/>
              </w:rPr>
            </w:pPr>
            <w:r>
              <w:rPr>
                <w:rFonts w:hint="eastAsia" w:ascii="??_GB2312" w:hAnsi="宋体"/>
                <w:bCs/>
                <w:sz w:val="18"/>
                <w:szCs w:val="18"/>
              </w:rPr>
              <w:t>—</w:t>
            </w:r>
          </w:p>
        </w:tc>
        <w:tc>
          <w:tcPr>
            <w:tcW w:w="607" w:type="dxa"/>
            <w:vAlign w:val="center"/>
          </w:tcPr>
          <w:p>
            <w:pPr>
              <w:spacing w:line="240" w:lineRule="exact"/>
              <w:jc w:val="center"/>
              <w:rPr>
                <w:rFonts w:ascii="??_GB2312" w:hAnsi="宋体"/>
                <w:bCs/>
                <w:sz w:val="18"/>
                <w:szCs w:val="18"/>
              </w:rPr>
            </w:pPr>
            <w:r>
              <w:rPr>
                <w:rFonts w:hint="eastAsia" w:ascii="??_GB2312" w:hAnsi="宋体"/>
                <w:bCs/>
                <w:sz w:val="18"/>
                <w:szCs w:val="18"/>
              </w:rPr>
              <w:t>—</w:t>
            </w:r>
          </w:p>
        </w:tc>
        <w:tc>
          <w:tcPr>
            <w:tcW w:w="2486" w:type="dxa"/>
            <w:vAlign w:val="center"/>
          </w:tcPr>
          <w:p>
            <w:pPr>
              <w:spacing w:line="240" w:lineRule="exact"/>
              <w:jc w:val="center"/>
              <w:rPr>
                <w:rFonts w:ascii="??_GB2312" w:hAnsi="宋体" w:eastAsia="Times New Roman"/>
                <w:sz w:val="18"/>
                <w:szCs w:val="18"/>
              </w:rPr>
            </w:pPr>
            <w:r>
              <w:rPr>
                <w:rFonts w:hint="eastAsia" w:ascii="??_GB2312" w:hAnsi="宋体"/>
                <w:bCs/>
                <w:sz w:val="18"/>
                <w:szCs w:val="18"/>
              </w:rPr>
              <w:t>首次招生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exact"/>
          <w:jc w:val="center"/>
        </w:trPr>
        <w:tc>
          <w:tcPr>
            <w:tcW w:w="1670" w:type="dxa"/>
            <w:vAlign w:val="center"/>
          </w:tcPr>
          <w:p>
            <w:pPr>
              <w:spacing w:line="240" w:lineRule="exact"/>
              <w:jc w:val="center"/>
              <w:rPr>
                <w:rFonts w:ascii="??_GB2312" w:hAnsi="宋体" w:eastAsia="Times New Roman"/>
                <w:bCs/>
                <w:sz w:val="18"/>
                <w:szCs w:val="18"/>
              </w:rPr>
            </w:pPr>
            <w:r>
              <w:rPr>
                <w:rFonts w:hint="eastAsia" w:ascii="??_GB2312" w:hAnsi="宋体" w:eastAsia="Times New Roman"/>
                <w:bCs/>
                <w:sz w:val="18"/>
                <w:szCs w:val="18"/>
              </w:rPr>
              <w:t>会计学</w:t>
            </w:r>
          </w:p>
        </w:tc>
        <w:tc>
          <w:tcPr>
            <w:tcW w:w="720" w:type="dxa"/>
            <w:vAlign w:val="center"/>
          </w:tcPr>
          <w:p>
            <w:pPr>
              <w:spacing w:line="240" w:lineRule="exact"/>
              <w:jc w:val="center"/>
              <w:rPr>
                <w:rFonts w:ascii="??_GB2312" w:hAnsi="宋体"/>
                <w:b/>
                <w:bCs/>
                <w:color w:val="000000" w:themeColor="text1"/>
                <w:sz w:val="18"/>
                <w:szCs w:val="18"/>
                <w:u w:val="single"/>
                <w14:textFill>
                  <w14:solidFill>
                    <w14:schemeClr w14:val="tx1"/>
                  </w14:solidFill>
                </w14:textFill>
              </w:rPr>
            </w:pPr>
            <w:r>
              <w:rPr>
                <w:rFonts w:hint="eastAsia" w:ascii="??_GB2312" w:hAnsi="宋体"/>
                <w:b/>
                <w:bCs/>
                <w:color w:val="000000" w:themeColor="text1"/>
                <w:sz w:val="18"/>
                <w:szCs w:val="18"/>
                <w:u w:val="single"/>
                <w14:textFill>
                  <w14:solidFill>
                    <w14:schemeClr w14:val="tx1"/>
                  </w14:solidFill>
                </w14:textFill>
              </w:rPr>
              <w:t>225</w:t>
            </w:r>
          </w:p>
        </w:tc>
        <w:tc>
          <w:tcPr>
            <w:tcW w:w="866" w:type="dxa"/>
            <w:vAlign w:val="center"/>
          </w:tcPr>
          <w:p>
            <w:pPr>
              <w:spacing w:line="240" w:lineRule="exact"/>
              <w:jc w:val="center"/>
              <w:rPr>
                <w:rFonts w:ascii="??_GB2312" w:hAnsi="宋体" w:eastAsia="Times New Roman"/>
                <w:sz w:val="18"/>
                <w:szCs w:val="18"/>
              </w:rPr>
            </w:pPr>
            <w:r>
              <w:rPr>
                <w:rFonts w:hint="eastAsia" w:ascii="??_GB2312" w:hAnsi="宋体"/>
                <w:sz w:val="18"/>
                <w:szCs w:val="18"/>
              </w:rPr>
              <w:t>4590</w:t>
            </w:r>
          </w:p>
        </w:tc>
        <w:tc>
          <w:tcPr>
            <w:tcW w:w="2154" w:type="dxa"/>
            <w:vAlign w:val="center"/>
          </w:tcPr>
          <w:p>
            <w:pPr>
              <w:spacing w:line="240" w:lineRule="exact"/>
              <w:jc w:val="center"/>
              <w:rPr>
                <w:rFonts w:ascii="??_GB2312" w:hAnsi="Gungsuh"/>
                <w:sz w:val="18"/>
                <w:szCs w:val="18"/>
              </w:rPr>
            </w:pPr>
            <w:r>
              <w:rPr>
                <w:rFonts w:hint="eastAsia" w:ascii="??_GB2312" w:hAnsi="Gungsuh"/>
                <w:sz w:val="18"/>
                <w:szCs w:val="18"/>
              </w:rPr>
              <w:t>工商管理类相关专业</w:t>
            </w:r>
          </w:p>
        </w:tc>
        <w:tc>
          <w:tcPr>
            <w:tcW w:w="606" w:type="dxa"/>
            <w:vAlign w:val="center"/>
          </w:tcPr>
          <w:p>
            <w:pPr>
              <w:spacing w:line="240" w:lineRule="exact"/>
              <w:jc w:val="center"/>
              <w:rPr>
                <w:rFonts w:ascii="??_GB2312" w:hAnsi="宋体"/>
                <w:bCs/>
                <w:sz w:val="18"/>
                <w:szCs w:val="18"/>
              </w:rPr>
            </w:pPr>
            <w:r>
              <w:rPr>
                <w:rFonts w:hint="eastAsia" w:ascii="??_GB2312" w:hAnsi="宋体"/>
                <w:bCs/>
                <w:sz w:val="18"/>
                <w:szCs w:val="18"/>
              </w:rPr>
              <w:t>—</w:t>
            </w:r>
          </w:p>
        </w:tc>
        <w:tc>
          <w:tcPr>
            <w:tcW w:w="587" w:type="dxa"/>
            <w:vAlign w:val="center"/>
          </w:tcPr>
          <w:p>
            <w:pPr>
              <w:spacing w:line="240" w:lineRule="exact"/>
              <w:jc w:val="center"/>
              <w:rPr>
                <w:rFonts w:ascii="??_GB2312" w:hAnsi="宋体"/>
                <w:bCs/>
                <w:sz w:val="18"/>
                <w:szCs w:val="18"/>
              </w:rPr>
            </w:pPr>
            <w:r>
              <w:rPr>
                <w:rFonts w:hint="eastAsia" w:ascii="??_GB2312" w:hAnsi="宋体"/>
                <w:bCs/>
                <w:sz w:val="18"/>
                <w:szCs w:val="18"/>
              </w:rPr>
              <w:t>—</w:t>
            </w:r>
          </w:p>
        </w:tc>
        <w:tc>
          <w:tcPr>
            <w:tcW w:w="607" w:type="dxa"/>
            <w:vAlign w:val="center"/>
          </w:tcPr>
          <w:p>
            <w:pPr>
              <w:spacing w:line="240" w:lineRule="exact"/>
              <w:jc w:val="center"/>
              <w:rPr>
                <w:rFonts w:ascii="??_GB2312" w:hAnsi="宋体"/>
                <w:bCs/>
                <w:sz w:val="18"/>
                <w:szCs w:val="18"/>
              </w:rPr>
            </w:pPr>
            <w:r>
              <w:rPr>
                <w:rFonts w:hint="eastAsia" w:ascii="??_GB2312" w:hAnsi="宋体"/>
                <w:bCs/>
                <w:sz w:val="18"/>
                <w:szCs w:val="18"/>
              </w:rPr>
              <w:t>—</w:t>
            </w:r>
          </w:p>
        </w:tc>
        <w:tc>
          <w:tcPr>
            <w:tcW w:w="2486" w:type="dxa"/>
            <w:vAlign w:val="center"/>
          </w:tcPr>
          <w:p>
            <w:pPr>
              <w:spacing w:line="240" w:lineRule="exact"/>
              <w:jc w:val="center"/>
              <w:rPr>
                <w:rFonts w:ascii="??_GB2312" w:hAnsi="宋体" w:eastAsia="Times New Roman"/>
                <w:sz w:val="18"/>
                <w:szCs w:val="18"/>
              </w:rPr>
            </w:pPr>
            <w:r>
              <w:rPr>
                <w:rFonts w:hint="eastAsia" w:ascii="??_GB2312" w:hAnsi="宋体"/>
                <w:bCs/>
                <w:sz w:val="18"/>
                <w:szCs w:val="18"/>
              </w:rPr>
              <w:t>首次招生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exact"/>
          <w:jc w:val="center"/>
        </w:trPr>
        <w:tc>
          <w:tcPr>
            <w:tcW w:w="1670" w:type="dxa"/>
            <w:vAlign w:val="center"/>
          </w:tcPr>
          <w:p>
            <w:pPr>
              <w:spacing w:line="240" w:lineRule="exact"/>
              <w:jc w:val="center"/>
              <w:rPr>
                <w:rFonts w:ascii="??_GB2312" w:hAnsi="宋体" w:eastAsia="Times New Roman"/>
                <w:bCs/>
                <w:sz w:val="18"/>
                <w:szCs w:val="18"/>
              </w:rPr>
            </w:pPr>
            <w:r>
              <w:rPr>
                <w:rFonts w:hint="eastAsia" w:ascii="??_GB2312" w:hAnsi="宋体" w:eastAsia="Times New Roman"/>
                <w:bCs/>
                <w:sz w:val="18"/>
                <w:szCs w:val="18"/>
              </w:rPr>
              <w:t>市场营销</w:t>
            </w:r>
          </w:p>
        </w:tc>
        <w:tc>
          <w:tcPr>
            <w:tcW w:w="720" w:type="dxa"/>
            <w:vAlign w:val="center"/>
          </w:tcPr>
          <w:p>
            <w:pPr>
              <w:spacing w:line="240" w:lineRule="exact"/>
              <w:jc w:val="center"/>
              <w:rPr>
                <w:rFonts w:ascii="??_GB2312" w:hAnsi="宋体"/>
                <w:b/>
                <w:bCs/>
                <w:color w:val="000000" w:themeColor="text1"/>
                <w:sz w:val="18"/>
                <w:szCs w:val="18"/>
                <w:u w:val="single"/>
                <w14:textFill>
                  <w14:solidFill>
                    <w14:schemeClr w14:val="tx1"/>
                  </w14:solidFill>
                </w14:textFill>
              </w:rPr>
            </w:pPr>
            <w:r>
              <w:rPr>
                <w:rFonts w:hint="eastAsia" w:ascii="??_GB2312" w:hAnsi="宋体"/>
                <w:b/>
                <w:bCs/>
                <w:color w:val="000000" w:themeColor="text1"/>
                <w:sz w:val="18"/>
                <w:szCs w:val="18"/>
                <w:u w:val="single"/>
                <w14:textFill>
                  <w14:solidFill>
                    <w14:schemeClr w14:val="tx1"/>
                  </w14:solidFill>
                </w14:textFill>
              </w:rPr>
              <w:t>160</w:t>
            </w:r>
          </w:p>
        </w:tc>
        <w:tc>
          <w:tcPr>
            <w:tcW w:w="866" w:type="dxa"/>
            <w:vAlign w:val="center"/>
          </w:tcPr>
          <w:p>
            <w:pPr>
              <w:spacing w:line="240" w:lineRule="exact"/>
              <w:jc w:val="center"/>
              <w:rPr>
                <w:rFonts w:ascii="??_GB2312" w:hAnsi="宋体" w:eastAsia="Times New Roman"/>
                <w:sz w:val="18"/>
                <w:szCs w:val="18"/>
              </w:rPr>
            </w:pPr>
            <w:r>
              <w:rPr>
                <w:rFonts w:hint="eastAsia" w:ascii="??_GB2312" w:hAnsi="宋体"/>
                <w:sz w:val="18"/>
                <w:szCs w:val="18"/>
              </w:rPr>
              <w:t>4590</w:t>
            </w:r>
          </w:p>
        </w:tc>
        <w:tc>
          <w:tcPr>
            <w:tcW w:w="2154" w:type="dxa"/>
            <w:vAlign w:val="center"/>
          </w:tcPr>
          <w:p>
            <w:pPr>
              <w:spacing w:line="240" w:lineRule="exact"/>
              <w:jc w:val="center"/>
              <w:rPr>
                <w:rFonts w:ascii="??_GB2312" w:hAnsi="Gungsuh"/>
                <w:sz w:val="18"/>
                <w:szCs w:val="18"/>
              </w:rPr>
            </w:pPr>
            <w:r>
              <w:rPr>
                <w:rFonts w:hint="eastAsia" w:ascii="??_GB2312" w:hAnsi="Gungsuh"/>
                <w:sz w:val="18"/>
                <w:szCs w:val="18"/>
              </w:rPr>
              <w:t>工商管理类相关专业</w:t>
            </w:r>
          </w:p>
        </w:tc>
        <w:tc>
          <w:tcPr>
            <w:tcW w:w="606" w:type="dxa"/>
            <w:vAlign w:val="center"/>
          </w:tcPr>
          <w:p>
            <w:pPr>
              <w:spacing w:line="240" w:lineRule="exact"/>
              <w:jc w:val="center"/>
              <w:rPr>
                <w:rFonts w:ascii="??_GB2312" w:hAnsi="宋体"/>
                <w:bCs/>
                <w:sz w:val="18"/>
                <w:szCs w:val="18"/>
              </w:rPr>
            </w:pPr>
            <w:r>
              <w:rPr>
                <w:rFonts w:hint="eastAsia" w:ascii="??_GB2312" w:hAnsi="宋体"/>
                <w:bCs/>
                <w:sz w:val="18"/>
                <w:szCs w:val="18"/>
              </w:rPr>
              <w:t>—</w:t>
            </w:r>
          </w:p>
        </w:tc>
        <w:tc>
          <w:tcPr>
            <w:tcW w:w="587" w:type="dxa"/>
            <w:vAlign w:val="center"/>
          </w:tcPr>
          <w:p>
            <w:pPr>
              <w:spacing w:line="240" w:lineRule="exact"/>
              <w:jc w:val="center"/>
              <w:rPr>
                <w:rFonts w:ascii="??_GB2312" w:hAnsi="宋体"/>
                <w:bCs/>
                <w:sz w:val="18"/>
                <w:szCs w:val="18"/>
              </w:rPr>
            </w:pPr>
            <w:r>
              <w:rPr>
                <w:rFonts w:hint="eastAsia" w:ascii="??_GB2312" w:hAnsi="宋体"/>
                <w:bCs/>
                <w:sz w:val="18"/>
                <w:szCs w:val="18"/>
              </w:rPr>
              <w:t>—</w:t>
            </w:r>
          </w:p>
        </w:tc>
        <w:tc>
          <w:tcPr>
            <w:tcW w:w="607" w:type="dxa"/>
            <w:vAlign w:val="center"/>
          </w:tcPr>
          <w:p>
            <w:pPr>
              <w:spacing w:line="240" w:lineRule="exact"/>
              <w:jc w:val="center"/>
              <w:rPr>
                <w:rFonts w:ascii="??_GB2312" w:hAnsi="宋体"/>
                <w:bCs/>
                <w:sz w:val="18"/>
                <w:szCs w:val="18"/>
              </w:rPr>
            </w:pPr>
            <w:r>
              <w:rPr>
                <w:rFonts w:hint="eastAsia" w:ascii="??_GB2312" w:hAnsi="宋体"/>
                <w:bCs/>
                <w:sz w:val="18"/>
                <w:szCs w:val="18"/>
              </w:rPr>
              <w:t>—</w:t>
            </w:r>
          </w:p>
        </w:tc>
        <w:tc>
          <w:tcPr>
            <w:tcW w:w="2486" w:type="dxa"/>
            <w:vAlign w:val="center"/>
          </w:tcPr>
          <w:p>
            <w:pPr>
              <w:spacing w:line="240" w:lineRule="exact"/>
              <w:jc w:val="center"/>
              <w:rPr>
                <w:rFonts w:ascii="??_GB2312" w:hAnsi="宋体" w:eastAsia="Times New Roman"/>
                <w:sz w:val="18"/>
                <w:szCs w:val="18"/>
              </w:rPr>
            </w:pPr>
            <w:r>
              <w:rPr>
                <w:rFonts w:hint="eastAsia" w:ascii="??_GB2312" w:hAnsi="宋体"/>
                <w:bCs/>
                <w:sz w:val="18"/>
                <w:szCs w:val="18"/>
              </w:rPr>
              <w:t>首次招生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exact"/>
          <w:jc w:val="center"/>
        </w:trPr>
        <w:tc>
          <w:tcPr>
            <w:tcW w:w="1670" w:type="dxa"/>
            <w:vAlign w:val="center"/>
          </w:tcPr>
          <w:p>
            <w:pPr>
              <w:spacing w:line="240" w:lineRule="exact"/>
              <w:jc w:val="center"/>
              <w:rPr>
                <w:rFonts w:ascii="??_GB2312" w:hAnsi="宋体" w:eastAsia="Times New Roman"/>
                <w:bCs/>
                <w:sz w:val="18"/>
                <w:szCs w:val="18"/>
              </w:rPr>
            </w:pPr>
            <w:r>
              <w:rPr>
                <w:rFonts w:hint="eastAsia" w:ascii="??_GB2312" w:hAnsi="宋体" w:eastAsia="Times New Roman"/>
                <w:bCs/>
                <w:sz w:val="18"/>
                <w:szCs w:val="18"/>
              </w:rPr>
              <w:t>数学与应用数学（师范）</w:t>
            </w:r>
          </w:p>
        </w:tc>
        <w:tc>
          <w:tcPr>
            <w:tcW w:w="720" w:type="dxa"/>
            <w:vAlign w:val="center"/>
          </w:tcPr>
          <w:p>
            <w:pPr>
              <w:spacing w:line="240" w:lineRule="exact"/>
              <w:jc w:val="center"/>
              <w:rPr>
                <w:rFonts w:ascii="??_GB2312" w:hAnsi="宋体"/>
                <w:b/>
                <w:bCs/>
                <w:color w:val="000000" w:themeColor="text1"/>
                <w:sz w:val="18"/>
                <w:szCs w:val="18"/>
                <w:u w:val="single"/>
                <w14:textFill>
                  <w14:solidFill>
                    <w14:schemeClr w14:val="tx1"/>
                  </w14:solidFill>
                </w14:textFill>
              </w:rPr>
            </w:pPr>
            <w:r>
              <w:rPr>
                <w:rFonts w:hint="eastAsia" w:ascii="??_GB2312" w:hAnsi="宋体"/>
                <w:b/>
                <w:bCs/>
                <w:color w:val="000000" w:themeColor="text1"/>
                <w:sz w:val="18"/>
                <w:szCs w:val="18"/>
                <w:u w:val="single"/>
                <w14:textFill>
                  <w14:solidFill>
                    <w14:schemeClr w14:val="tx1"/>
                  </w14:solidFill>
                </w14:textFill>
              </w:rPr>
              <w:t>170</w:t>
            </w:r>
          </w:p>
        </w:tc>
        <w:tc>
          <w:tcPr>
            <w:tcW w:w="866" w:type="dxa"/>
            <w:vAlign w:val="center"/>
          </w:tcPr>
          <w:p>
            <w:pPr>
              <w:spacing w:line="240" w:lineRule="exact"/>
              <w:jc w:val="center"/>
              <w:rPr>
                <w:rFonts w:ascii="??_GB2312" w:hAnsi="宋体" w:eastAsia="Times New Roman"/>
                <w:sz w:val="18"/>
                <w:szCs w:val="18"/>
              </w:rPr>
            </w:pPr>
            <w:r>
              <w:rPr>
                <w:rFonts w:hint="eastAsia" w:ascii="??_GB2312" w:hAnsi="宋体"/>
                <w:sz w:val="18"/>
                <w:szCs w:val="18"/>
              </w:rPr>
              <w:t>5190</w:t>
            </w:r>
          </w:p>
        </w:tc>
        <w:tc>
          <w:tcPr>
            <w:tcW w:w="2154" w:type="dxa"/>
            <w:vAlign w:val="center"/>
          </w:tcPr>
          <w:p>
            <w:pPr>
              <w:spacing w:line="240" w:lineRule="exact"/>
              <w:jc w:val="center"/>
              <w:rPr>
                <w:rFonts w:ascii="??_GB2312" w:hAnsi="Gungsuh"/>
                <w:sz w:val="18"/>
                <w:szCs w:val="18"/>
              </w:rPr>
            </w:pPr>
            <w:r>
              <w:rPr>
                <w:rFonts w:hint="eastAsia" w:ascii="??_GB2312" w:hAnsi="Gungsuh"/>
                <w:sz w:val="18"/>
                <w:szCs w:val="18"/>
              </w:rPr>
              <w:t>数学教育及数学类相关专业</w:t>
            </w:r>
          </w:p>
        </w:tc>
        <w:tc>
          <w:tcPr>
            <w:tcW w:w="606" w:type="dxa"/>
            <w:vAlign w:val="center"/>
          </w:tcPr>
          <w:p>
            <w:pPr>
              <w:spacing w:line="240" w:lineRule="exact"/>
              <w:jc w:val="center"/>
              <w:rPr>
                <w:rFonts w:ascii="??_GB2312" w:hAnsi="宋体"/>
                <w:bCs/>
                <w:sz w:val="18"/>
                <w:szCs w:val="18"/>
              </w:rPr>
            </w:pPr>
            <w:r>
              <w:rPr>
                <w:rFonts w:hint="eastAsia" w:ascii="??_GB2312" w:hAnsi="宋体"/>
                <w:bCs/>
                <w:sz w:val="18"/>
                <w:szCs w:val="18"/>
              </w:rPr>
              <w:t>—</w:t>
            </w:r>
          </w:p>
        </w:tc>
        <w:tc>
          <w:tcPr>
            <w:tcW w:w="587" w:type="dxa"/>
            <w:vAlign w:val="center"/>
          </w:tcPr>
          <w:p>
            <w:pPr>
              <w:spacing w:line="240" w:lineRule="exact"/>
              <w:jc w:val="center"/>
              <w:rPr>
                <w:rFonts w:ascii="??_GB2312" w:hAnsi="宋体"/>
                <w:bCs/>
                <w:sz w:val="18"/>
                <w:szCs w:val="18"/>
              </w:rPr>
            </w:pPr>
            <w:r>
              <w:rPr>
                <w:rFonts w:hint="eastAsia" w:ascii="??_GB2312" w:hAnsi="宋体"/>
                <w:bCs/>
                <w:sz w:val="18"/>
                <w:szCs w:val="18"/>
              </w:rPr>
              <w:t>—</w:t>
            </w:r>
          </w:p>
        </w:tc>
        <w:tc>
          <w:tcPr>
            <w:tcW w:w="607" w:type="dxa"/>
            <w:vAlign w:val="center"/>
          </w:tcPr>
          <w:p>
            <w:pPr>
              <w:spacing w:line="240" w:lineRule="exact"/>
              <w:jc w:val="center"/>
              <w:rPr>
                <w:rFonts w:ascii="??_GB2312" w:hAnsi="宋体"/>
                <w:bCs/>
                <w:sz w:val="18"/>
                <w:szCs w:val="18"/>
              </w:rPr>
            </w:pPr>
            <w:r>
              <w:rPr>
                <w:rFonts w:hint="eastAsia" w:ascii="??_GB2312" w:hAnsi="宋体"/>
                <w:bCs/>
                <w:sz w:val="18"/>
                <w:szCs w:val="18"/>
              </w:rPr>
              <w:t>—</w:t>
            </w:r>
          </w:p>
        </w:tc>
        <w:tc>
          <w:tcPr>
            <w:tcW w:w="2486" w:type="dxa"/>
            <w:vAlign w:val="center"/>
          </w:tcPr>
          <w:p>
            <w:pPr>
              <w:spacing w:line="240" w:lineRule="exact"/>
              <w:jc w:val="center"/>
              <w:rPr>
                <w:rFonts w:ascii="??_GB2312" w:hAnsi="宋体" w:eastAsia="Times New Roman"/>
                <w:sz w:val="18"/>
                <w:szCs w:val="18"/>
              </w:rPr>
            </w:pPr>
            <w:r>
              <w:rPr>
                <w:rFonts w:hint="eastAsia" w:ascii="??_GB2312" w:hAnsi="宋体"/>
                <w:bCs/>
                <w:sz w:val="18"/>
                <w:szCs w:val="18"/>
              </w:rPr>
              <w:t>首次招生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exact"/>
          <w:jc w:val="center"/>
        </w:trPr>
        <w:tc>
          <w:tcPr>
            <w:tcW w:w="1670" w:type="dxa"/>
            <w:vAlign w:val="center"/>
          </w:tcPr>
          <w:p>
            <w:pPr>
              <w:spacing w:line="240" w:lineRule="exact"/>
              <w:jc w:val="center"/>
              <w:rPr>
                <w:rFonts w:ascii="??_GB2312" w:hAnsi="宋体" w:eastAsia="Times New Roman"/>
                <w:bCs/>
                <w:sz w:val="18"/>
                <w:szCs w:val="18"/>
              </w:rPr>
            </w:pPr>
            <w:r>
              <w:rPr>
                <w:rFonts w:hint="eastAsia" w:ascii="??_GB2312" w:hAnsi="宋体" w:eastAsia="Times New Roman"/>
                <w:bCs/>
                <w:sz w:val="18"/>
                <w:szCs w:val="18"/>
              </w:rPr>
              <w:t>计算机科学与技术（师范）</w:t>
            </w:r>
          </w:p>
        </w:tc>
        <w:tc>
          <w:tcPr>
            <w:tcW w:w="720" w:type="dxa"/>
            <w:vAlign w:val="center"/>
          </w:tcPr>
          <w:p>
            <w:pPr>
              <w:spacing w:line="240" w:lineRule="exact"/>
              <w:jc w:val="center"/>
              <w:rPr>
                <w:rFonts w:ascii="??_GB2312" w:hAnsi="宋体"/>
                <w:b/>
                <w:bCs/>
                <w:color w:val="000000" w:themeColor="text1"/>
                <w:sz w:val="18"/>
                <w:szCs w:val="18"/>
                <w:u w:val="single"/>
                <w14:textFill>
                  <w14:solidFill>
                    <w14:schemeClr w14:val="tx1"/>
                  </w14:solidFill>
                </w14:textFill>
              </w:rPr>
            </w:pPr>
            <w:r>
              <w:rPr>
                <w:rFonts w:hint="eastAsia" w:ascii="??_GB2312" w:hAnsi="宋体"/>
                <w:b/>
                <w:bCs/>
                <w:color w:val="000000" w:themeColor="text1"/>
                <w:sz w:val="18"/>
                <w:szCs w:val="18"/>
                <w:u w:val="single"/>
                <w14:textFill>
                  <w14:solidFill>
                    <w14:schemeClr w14:val="tx1"/>
                  </w14:solidFill>
                </w14:textFill>
              </w:rPr>
              <w:t>65</w:t>
            </w:r>
          </w:p>
        </w:tc>
        <w:tc>
          <w:tcPr>
            <w:tcW w:w="866" w:type="dxa"/>
            <w:vAlign w:val="center"/>
          </w:tcPr>
          <w:p>
            <w:pPr>
              <w:spacing w:line="240" w:lineRule="exact"/>
              <w:jc w:val="center"/>
              <w:rPr>
                <w:rFonts w:ascii="??_GB2312" w:hAnsi="宋体" w:eastAsia="Times New Roman"/>
                <w:sz w:val="18"/>
                <w:szCs w:val="18"/>
              </w:rPr>
            </w:pPr>
            <w:r>
              <w:rPr>
                <w:rFonts w:hint="eastAsia" w:ascii="??_GB2312" w:hAnsi="宋体"/>
                <w:sz w:val="18"/>
                <w:szCs w:val="18"/>
              </w:rPr>
              <w:t>5190</w:t>
            </w:r>
          </w:p>
        </w:tc>
        <w:tc>
          <w:tcPr>
            <w:tcW w:w="2154" w:type="dxa"/>
            <w:vAlign w:val="center"/>
          </w:tcPr>
          <w:p>
            <w:pPr>
              <w:spacing w:line="240" w:lineRule="exact"/>
              <w:jc w:val="center"/>
              <w:rPr>
                <w:rFonts w:ascii="??_GB2312" w:hAnsi="Gungsuh"/>
                <w:sz w:val="18"/>
                <w:szCs w:val="18"/>
              </w:rPr>
            </w:pPr>
            <w:r>
              <w:rPr>
                <w:rFonts w:hint="eastAsia" w:ascii="??_GB2312" w:hAnsi="Gungsuh"/>
                <w:sz w:val="18"/>
                <w:szCs w:val="18"/>
              </w:rPr>
              <w:t>计算机类相关专业</w:t>
            </w:r>
          </w:p>
        </w:tc>
        <w:tc>
          <w:tcPr>
            <w:tcW w:w="606" w:type="dxa"/>
            <w:vAlign w:val="center"/>
          </w:tcPr>
          <w:p>
            <w:pPr>
              <w:spacing w:line="240" w:lineRule="exact"/>
              <w:jc w:val="center"/>
              <w:rPr>
                <w:rFonts w:ascii="??_GB2312" w:hAnsi="宋体"/>
                <w:bCs/>
                <w:sz w:val="18"/>
                <w:szCs w:val="18"/>
              </w:rPr>
            </w:pPr>
            <w:r>
              <w:rPr>
                <w:rFonts w:hint="eastAsia" w:ascii="??_GB2312" w:hAnsi="宋体"/>
                <w:bCs/>
                <w:sz w:val="18"/>
                <w:szCs w:val="18"/>
              </w:rPr>
              <w:t>—</w:t>
            </w:r>
          </w:p>
        </w:tc>
        <w:tc>
          <w:tcPr>
            <w:tcW w:w="587" w:type="dxa"/>
            <w:vAlign w:val="center"/>
          </w:tcPr>
          <w:p>
            <w:pPr>
              <w:spacing w:line="240" w:lineRule="exact"/>
              <w:jc w:val="center"/>
              <w:rPr>
                <w:rFonts w:ascii="??_GB2312" w:hAnsi="宋体"/>
                <w:bCs/>
                <w:sz w:val="18"/>
                <w:szCs w:val="18"/>
              </w:rPr>
            </w:pPr>
            <w:r>
              <w:rPr>
                <w:rFonts w:hint="eastAsia" w:ascii="??_GB2312" w:hAnsi="宋体"/>
                <w:bCs/>
                <w:sz w:val="18"/>
                <w:szCs w:val="18"/>
              </w:rPr>
              <w:t>—</w:t>
            </w:r>
          </w:p>
        </w:tc>
        <w:tc>
          <w:tcPr>
            <w:tcW w:w="607" w:type="dxa"/>
            <w:vAlign w:val="center"/>
          </w:tcPr>
          <w:p>
            <w:pPr>
              <w:spacing w:line="240" w:lineRule="exact"/>
              <w:jc w:val="center"/>
              <w:rPr>
                <w:rFonts w:ascii="??_GB2312" w:hAnsi="宋体"/>
                <w:bCs/>
                <w:sz w:val="18"/>
                <w:szCs w:val="18"/>
              </w:rPr>
            </w:pPr>
            <w:r>
              <w:rPr>
                <w:rFonts w:hint="eastAsia" w:ascii="??_GB2312" w:hAnsi="宋体"/>
                <w:bCs/>
                <w:sz w:val="18"/>
                <w:szCs w:val="18"/>
              </w:rPr>
              <w:t>—</w:t>
            </w:r>
          </w:p>
        </w:tc>
        <w:tc>
          <w:tcPr>
            <w:tcW w:w="2486" w:type="dxa"/>
            <w:vAlign w:val="center"/>
          </w:tcPr>
          <w:p>
            <w:pPr>
              <w:spacing w:line="240" w:lineRule="exact"/>
              <w:jc w:val="center"/>
              <w:rPr>
                <w:rFonts w:ascii="??_GB2312" w:hAnsi="宋体" w:eastAsia="Times New Roman"/>
                <w:sz w:val="18"/>
                <w:szCs w:val="18"/>
              </w:rPr>
            </w:pPr>
            <w:r>
              <w:rPr>
                <w:rFonts w:hint="eastAsia" w:ascii="??_GB2312" w:hAnsi="宋体"/>
                <w:bCs/>
                <w:sz w:val="18"/>
                <w:szCs w:val="18"/>
              </w:rPr>
              <w:t>首次招生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exact"/>
          <w:jc w:val="center"/>
        </w:trPr>
        <w:tc>
          <w:tcPr>
            <w:tcW w:w="1670" w:type="dxa"/>
            <w:vAlign w:val="center"/>
          </w:tcPr>
          <w:p>
            <w:pPr>
              <w:spacing w:line="240" w:lineRule="exact"/>
              <w:jc w:val="center"/>
              <w:rPr>
                <w:rFonts w:ascii="??_GB2312" w:hAnsi="宋体" w:eastAsia="Times New Roman"/>
                <w:bCs/>
                <w:sz w:val="18"/>
                <w:szCs w:val="18"/>
              </w:rPr>
            </w:pPr>
            <w:r>
              <w:rPr>
                <w:rFonts w:hint="eastAsia" w:ascii="??_GB2312" w:hAnsi="宋体" w:eastAsia="Times New Roman"/>
                <w:bCs/>
                <w:sz w:val="18"/>
                <w:szCs w:val="18"/>
              </w:rPr>
              <w:t>环境工程</w:t>
            </w:r>
          </w:p>
        </w:tc>
        <w:tc>
          <w:tcPr>
            <w:tcW w:w="720" w:type="dxa"/>
            <w:vAlign w:val="center"/>
          </w:tcPr>
          <w:p>
            <w:pPr>
              <w:spacing w:line="240" w:lineRule="exact"/>
              <w:jc w:val="center"/>
              <w:rPr>
                <w:rFonts w:ascii="??_GB2312" w:hAnsi="宋体"/>
                <w:b/>
                <w:bCs/>
                <w:color w:val="000000" w:themeColor="text1"/>
                <w:sz w:val="18"/>
                <w:szCs w:val="18"/>
                <w14:textFill>
                  <w14:solidFill>
                    <w14:schemeClr w14:val="tx1"/>
                  </w14:solidFill>
                </w14:textFill>
              </w:rPr>
            </w:pPr>
            <w:r>
              <w:rPr>
                <w:rFonts w:hint="eastAsia" w:ascii="??_GB2312" w:hAnsi="宋体"/>
                <w:b/>
                <w:bCs/>
                <w:color w:val="000000" w:themeColor="text1"/>
                <w:sz w:val="18"/>
                <w:szCs w:val="18"/>
                <w14:textFill>
                  <w14:solidFill>
                    <w14:schemeClr w14:val="tx1"/>
                  </w14:solidFill>
                </w14:textFill>
              </w:rPr>
              <w:t>50</w:t>
            </w:r>
          </w:p>
        </w:tc>
        <w:tc>
          <w:tcPr>
            <w:tcW w:w="866" w:type="dxa"/>
            <w:vAlign w:val="center"/>
          </w:tcPr>
          <w:p>
            <w:pPr>
              <w:spacing w:line="240" w:lineRule="exact"/>
              <w:jc w:val="center"/>
              <w:rPr>
                <w:rFonts w:ascii="??_GB2312" w:hAnsi="宋体" w:eastAsia="Times New Roman"/>
                <w:sz w:val="18"/>
                <w:szCs w:val="18"/>
              </w:rPr>
            </w:pPr>
            <w:r>
              <w:rPr>
                <w:rFonts w:hint="eastAsia" w:ascii="??_GB2312" w:hAnsi="宋体"/>
                <w:sz w:val="18"/>
                <w:szCs w:val="18"/>
              </w:rPr>
              <w:t>5190</w:t>
            </w:r>
          </w:p>
        </w:tc>
        <w:tc>
          <w:tcPr>
            <w:tcW w:w="2154" w:type="dxa"/>
            <w:vAlign w:val="center"/>
          </w:tcPr>
          <w:p>
            <w:pPr>
              <w:spacing w:line="240" w:lineRule="exact"/>
              <w:jc w:val="center"/>
              <w:rPr>
                <w:rFonts w:ascii="??_GB2312" w:hAnsi="Gungsuh"/>
                <w:sz w:val="18"/>
                <w:szCs w:val="18"/>
              </w:rPr>
            </w:pPr>
            <w:r>
              <w:rPr>
                <w:rFonts w:hint="eastAsia" w:ascii="??_GB2312" w:hAnsi="Gungsuh"/>
                <w:sz w:val="18"/>
                <w:szCs w:val="18"/>
              </w:rPr>
              <w:t>环境科学与工程类相关专业（不招色盲色弱）</w:t>
            </w:r>
          </w:p>
        </w:tc>
        <w:tc>
          <w:tcPr>
            <w:tcW w:w="606" w:type="dxa"/>
            <w:vAlign w:val="center"/>
          </w:tcPr>
          <w:p>
            <w:pPr>
              <w:spacing w:line="240" w:lineRule="exact"/>
              <w:jc w:val="center"/>
              <w:rPr>
                <w:rFonts w:ascii="??_GB2312" w:hAnsi="宋体"/>
                <w:bCs/>
                <w:sz w:val="18"/>
                <w:szCs w:val="18"/>
              </w:rPr>
            </w:pPr>
            <w:r>
              <w:rPr>
                <w:rFonts w:hint="eastAsia" w:ascii="??_GB2312" w:hAnsi="宋体"/>
                <w:bCs/>
                <w:sz w:val="18"/>
                <w:szCs w:val="18"/>
              </w:rPr>
              <w:t>—</w:t>
            </w:r>
          </w:p>
        </w:tc>
        <w:tc>
          <w:tcPr>
            <w:tcW w:w="587" w:type="dxa"/>
            <w:vAlign w:val="center"/>
          </w:tcPr>
          <w:p>
            <w:pPr>
              <w:spacing w:line="240" w:lineRule="exact"/>
              <w:jc w:val="center"/>
              <w:rPr>
                <w:rFonts w:ascii="??_GB2312" w:hAnsi="宋体"/>
                <w:bCs/>
                <w:sz w:val="18"/>
                <w:szCs w:val="18"/>
              </w:rPr>
            </w:pPr>
            <w:r>
              <w:rPr>
                <w:rFonts w:hint="eastAsia" w:ascii="??_GB2312" w:hAnsi="宋体"/>
                <w:bCs/>
                <w:sz w:val="18"/>
                <w:szCs w:val="18"/>
              </w:rPr>
              <w:t>—</w:t>
            </w:r>
          </w:p>
        </w:tc>
        <w:tc>
          <w:tcPr>
            <w:tcW w:w="607" w:type="dxa"/>
            <w:vAlign w:val="center"/>
          </w:tcPr>
          <w:p>
            <w:pPr>
              <w:spacing w:line="240" w:lineRule="exact"/>
              <w:jc w:val="center"/>
              <w:rPr>
                <w:rFonts w:ascii="??_GB2312" w:hAnsi="宋体"/>
                <w:bCs/>
                <w:sz w:val="18"/>
                <w:szCs w:val="18"/>
              </w:rPr>
            </w:pPr>
            <w:r>
              <w:rPr>
                <w:rFonts w:hint="eastAsia" w:ascii="??_GB2312" w:hAnsi="宋体"/>
                <w:bCs/>
                <w:sz w:val="18"/>
                <w:szCs w:val="18"/>
              </w:rPr>
              <w:t>—</w:t>
            </w:r>
          </w:p>
        </w:tc>
        <w:tc>
          <w:tcPr>
            <w:tcW w:w="2486" w:type="dxa"/>
            <w:vAlign w:val="center"/>
          </w:tcPr>
          <w:p>
            <w:pPr>
              <w:spacing w:line="240" w:lineRule="exact"/>
              <w:jc w:val="center"/>
              <w:rPr>
                <w:rFonts w:ascii="??_GB2312" w:hAnsi="宋体" w:eastAsia="Times New Roman"/>
                <w:sz w:val="18"/>
                <w:szCs w:val="18"/>
              </w:rPr>
            </w:pPr>
            <w:r>
              <w:rPr>
                <w:rFonts w:hint="eastAsia" w:ascii="??_GB2312" w:hAnsi="宋体"/>
                <w:bCs/>
                <w:sz w:val="18"/>
                <w:szCs w:val="18"/>
              </w:rPr>
              <w:t>首次招生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exact"/>
          <w:jc w:val="center"/>
        </w:trPr>
        <w:tc>
          <w:tcPr>
            <w:tcW w:w="1670" w:type="dxa"/>
            <w:vAlign w:val="center"/>
          </w:tcPr>
          <w:p>
            <w:pPr>
              <w:spacing w:line="240" w:lineRule="exact"/>
              <w:jc w:val="center"/>
              <w:rPr>
                <w:rFonts w:ascii="??_GB2312" w:hAnsi="宋体" w:eastAsia="Times New Roman"/>
                <w:bCs/>
                <w:sz w:val="18"/>
                <w:szCs w:val="18"/>
              </w:rPr>
            </w:pPr>
            <w:r>
              <w:rPr>
                <w:rFonts w:hint="eastAsia" w:ascii="??_GB2312" w:hAnsi="宋体" w:eastAsia="Times New Roman"/>
                <w:bCs/>
                <w:sz w:val="18"/>
                <w:szCs w:val="18"/>
              </w:rPr>
              <w:t>食品科学与工程</w:t>
            </w:r>
          </w:p>
        </w:tc>
        <w:tc>
          <w:tcPr>
            <w:tcW w:w="720" w:type="dxa"/>
            <w:vAlign w:val="center"/>
          </w:tcPr>
          <w:p>
            <w:pPr>
              <w:spacing w:line="240" w:lineRule="exact"/>
              <w:jc w:val="center"/>
              <w:rPr>
                <w:rFonts w:ascii="??_GB2312" w:hAnsi="宋体"/>
                <w:b/>
                <w:bCs/>
                <w:color w:val="000000" w:themeColor="text1"/>
                <w:sz w:val="18"/>
                <w:szCs w:val="18"/>
                <w14:textFill>
                  <w14:solidFill>
                    <w14:schemeClr w14:val="tx1"/>
                  </w14:solidFill>
                </w14:textFill>
              </w:rPr>
            </w:pPr>
            <w:r>
              <w:rPr>
                <w:rFonts w:hint="eastAsia" w:ascii="??_GB2312" w:hAnsi="宋体"/>
                <w:b/>
                <w:bCs/>
                <w:color w:val="000000" w:themeColor="text1"/>
                <w:sz w:val="18"/>
                <w:szCs w:val="18"/>
                <w14:textFill>
                  <w14:solidFill>
                    <w14:schemeClr w14:val="tx1"/>
                  </w14:solidFill>
                </w14:textFill>
              </w:rPr>
              <w:t>60</w:t>
            </w:r>
          </w:p>
        </w:tc>
        <w:tc>
          <w:tcPr>
            <w:tcW w:w="866" w:type="dxa"/>
            <w:vAlign w:val="center"/>
          </w:tcPr>
          <w:p>
            <w:pPr>
              <w:spacing w:line="240" w:lineRule="exact"/>
              <w:jc w:val="center"/>
              <w:rPr>
                <w:rFonts w:ascii="??_GB2312" w:hAnsi="宋体" w:eastAsia="Times New Roman"/>
                <w:sz w:val="18"/>
                <w:szCs w:val="18"/>
              </w:rPr>
            </w:pPr>
            <w:r>
              <w:rPr>
                <w:rFonts w:hint="eastAsia" w:ascii="??_GB2312" w:hAnsi="宋体"/>
                <w:sz w:val="18"/>
                <w:szCs w:val="18"/>
              </w:rPr>
              <w:t>5190</w:t>
            </w:r>
          </w:p>
        </w:tc>
        <w:tc>
          <w:tcPr>
            <w:tcW w:w="2154" w:type="dxa"/>
            <w:vAlign w:val="center"/>
          </w:tcPr>
          <w:p>
            <w:pPr>
              <w:spacing w:line="240" w:lineRule="exact"/>
              <w:jc w:val="center"/>
              <w:rPr>
                <w:rFonts w:ascii="??_GB2312" w:hAnsi="Gungsuh"/>
                <w:sz w:val="18"/>
                <w:szCs w:val="18"/>
              </w:rPr>
            </w:pPr>
            <w:r>
              <w:rPr>
                <w:rFonts w:hint="eastAsia" w:ascii="??_GB2312" w:hAnsi="Gungsuh"/>
                <w:sz w:val="18"/>
                <w:szCs w:val="18"/>
              </w:rPr>
              <w:t>食品科学与工程类相关专业（不招色盲色弱）</w:t>
            </w:r>
          </w:p>
        </w:tc>
        <w:tc>
          <w:tcPr>
            <w:tcW w:w="606" w:type="dxa"/>
            <w:vAlign w:val="center"/>
          </w:tcPr>
          <w:p>
            <w:pPr>
              <w:spacing w:line="240" w:lineRule="exact"/>
              <w:jc w:val="center"/>
              <w:rPr>
                <w:rFonts w:ascii="??_GB2312" w:hAnsi="宋体"/>
                <w:bCs/>
                <w:sz w:val="18"/>
                <w:szCs w:val="18"/>
              </w:rPr>
            </w:pPr>
            <w:r>
              <w:rPr>
                <w:rFonts w:hint="eastAsia" w:ascii="??_GB2312" w:hAnsi="宋体"/>
                <w:bCs/>
                <w:sz w:val="18"/>
                <w:szCs w:val="18"/>
              </w:rPr>
              <w:t>—</w:t>
            </w:r>
          </w:p>
        </w:tc>
        <w:tc>
          <w:tcPr>
            <w:tcW w:w="587" w:type="dxa"/>
            <w:vAlign w:val="center"/>
          </w:tcPr>
          <w:p>
            <w:pPr>
              <w:spacing w:line="240" w:lineRule="exact"/>
              <w:jc w:val="center"/>
              <w:rPr>
                <w:rFonts w:ascii="??_GB2312" w:hAnsi="宋体"/>
                <w:bCs/>
                <w:sz w:val="18"/>
                <w:szCs w:val="18"/>
              </w:rPr>
            </w:pPr>
            <w:r>
              <w:rPr>
                <w:rFonts w:hint="eastAsia" w:ascii="??_GB2312" w:hAnsi="宋体"/>
                <w:bCs/>
                <w:sz w:val="18"/>
                <w:szCs w:val="18"/>
              </w:rPr>
              <w:t>—</w:t>
            </w:r>
          </w:p>
        </w:tc>
        <w:tc>
          <w:tcPr>
            <w:tcW w:w="607" w:type="dxa"/>
            <w:vAlign w:val="center"/>
          </w:tcPr>
          <w:p>
            <w:pPr>
              <w:spacing w:line="240" w:lineRule="exact"/>
              <w:jc w:val="center"/>
              <w:rPr>
                <w:rFonts w:ascii="??_GB2312" w:hAnsi="宋体"/>
                <w:bCs/>
                <w:sz w:val="18"/>
                <w:szCs w:val="18"/>
              </w:rPr>
            </w:pPr>
            <w:r>
              <w:rPr>
                <w:rFonts w:hint="eastAsia" w:ascii="??_GB2312" w:hAnsi="宋体"/>
                <w:bCs/>
                <w:sz w:val="18"/>
                <w:szCs w:val="18"/>
              </w:rPr>
              <w:t>—</w:t>
            </w:r>
          </w:p>
        </w:tc>
        <w:tc>
          <w:tcPr>
            <w:tcW w:w="2486" w:type="dxa"/>
            <w:vAlign w:val="center"/>
          </w:tcPr>
          <w:p>
            <w:pPr>
              <w:spacing w:line="240" w:lineRule="exact"/>
              <w:jc w:val="center"/>
              <w:rPr>
                <w:rFonts w:ascii="??_GB2312" w:hAnsi="宋体" w:eastAsia="Times New Roman"/>
                <w:sz w:val="18"/>
                <w:szCs w:val="18"/>
              </w:rPr>
            </w:pPr>
            <w:r>
              <w:rPr>
                <w:rFonts w:hint="eastAsia" w:ascii="??_GB2312" w:hAnsi="宋体"/>
                <w:bCs/>
                <w:sz w:val="18"/>
                <w:szCs w:val="18"/>
              </w:rPr>
              <w:t>首次招生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jc w:val="center"/>
        </w:trPr>
        <w:tc>
          <w:tcPr>
            <w:tcW w:w="1670" w:type="dxa"/>
            <w:vAlign w:val="center"/>
          </w:tcPr>
          <w:p>
            <w:pPr>
              <w:spacing w:line="240" w:lineRule="exact"/>
              <w:jc w:val="center"/>
              <w:rPr>
                <w:rFonts w:ascii="??_GB2312" w:hAnsi="宋体" w:eastAsia="Times New Roman"/>
                <w:bCs/>
                <w:sz w:val="18"/>
                <w:szCs w:val="18"/>
              </w:rPr>
            </w:pPr>
            <w:r>
              <w:rPr>
                <w:rFonts w:hint="eastAsia" w:ascii="??_GB2312" w:hAnsi="宋体" w:eastAsia="Times New Roman"/>
                <w:bCs/>
                <w:sz w:val="18"/>
                <w:szCs w:val="18"/>
              </w:rPr>
              <w:t>酒店管理</w:t>
            </w:r>
          </w:p>
        </w:tc>
        <w:tc>
          <w:tcPr>
            <w:tcW w:w="720" w:type="dxa"/>
            <w:vAlign w:val="center"/>
          </w:tcPr>
          <w:p>
            <w:pPr>
              <w:spacing w:line="240" w:lineRule="exact"/>
              <w:jc w:val="center"/>
              <w:rPr>
                <w:rFonts w:ascii="??_GB2312" w:hAnsi="宋体"/>
                <w:b/>
                <w:bCs/>
                <w:color w:val="000000" w:themeColor="text1"/>
                <w:sz w:val="18"/>
                <w:szCs w:val="18"/>
                <w14:textFill>
                  <w14:solidFill>
                    <w14:schemeClr w14:val="tx1"/>
                  </w14:solidFill>
                </w14:textFill>
              </w:rPr>
            </w:pPr>
            <w:r>
              <w:rPr>
                <w:rFonts w:hint="eastAsia" w:ascii="??_GB2312" w:hAnsi="宋体"/>
                <w:b/>
                <w:bCs/>
                <w:color w:val="000000" w:themeColor="text1"/>
                <w:sz w:val="18"/>
                <w:szCs w:val="18"/>
                <w14:textFill>
                  <w14:solidFill>
                    <w14:schemeClr w14:val="tx1"/>
                  </w14:solidFill>
                </w14:textFill>
              </w:rPr>
              <w:t>50</w:t>
            </w:r>
          </w:p>
        </w:tc>
        <w:tc>
          <w:tcPr>
            <w:tcW w:w="866" w:type="dxa"/>
            <w:vAlign w:val="center"/>
          </w:tcPr>
          <w:p>
            <w:pPr>
              <w:spacing w:line="240" w:lineRule="exact"/>
              <w:jc w:val="center"/>
              <w:rPr>
                <w:rFonts w:ascii="??_GB2312" w:hAnsi="宋体" w:eastAsia="Times New Roman"/>
                <w:sz w:val="18"/>
                <w:szCs w:val="18"/>
              </w:rPr>
            </w:pPr>
            <w:r>
              <w:rPr>
                <w:rFonts w:hint="eastAsia" w:ascii="??_GB2312" w:hAnsi="宋体"/>
                <w:sz w:val="18"/>
                <w:szCs w:val="18"/>
              </w:rPr>
              <w:t>4590</w:t>
            </w:r>
          </w:p>
        </w:tc>
        <w:tc>
          <w:tcPr>
            <w:tcW w:w="2154" w:type="dxa"/>
            <w:vAlign w:val="center"/>
          </w:tcPr>
          <w:p>
            <w:pPr>
              <w:spacing w:line="240" w:lineRule="exact"/>
              <w:jc w:val="center"/>
              <w:rPr>
                <w:rFonts w:ascii="??_GB2312" w:hAnsi="Gungsuh"/>
                <w:sz w:val="18"/>
                <w:szCs w:val="18"/>
              </w:rPr>
            </w:pPr>
            <w:r>
              <w:rPr>
                <w:rFonts w:hint="eastAsia" w:ascii="??_GB2312" w:hAnsi="Gungsuh"/>
                <w:sz w:val="18"/>
                <w:szCs w:val="18"/>
              </w:rPr>
              <w:t>旅游管理类相关专业</w:t>
            </w:r>
          </w:p>
        </w:tc>
        <w:tc>
          <w:tcPr>
            <w:tcW w:w="606" w:type="dxa"/>
            <w:vAlign w:val="center"/>
          </w:tcPr>
          <w:p>
            <w:pPr>
              <w:spacing w:line="240" w:lineRule="exact"/>
              <w:jc w:val="center"/>
              <w:rPr>
                <w:rFonts w:ascii="??_GB2312" w:hAnsi="宋体"/>
                <w:bCs/>
                <w:sz w:val="18"/>
                <w:szCs w:val="18"/>
              </w:rPr>
            </w:pPr>
            <w:r>
              <w:rPr>
                <w:rFonts w:hint="eastAsia" w:ascii="??_GB2312" w:hAnsi="宋体"/>
                <w:bCs/>
                <w:sz w:val="18"/>
                <w:szCs w:val="18"/>
              </w:rPr>
              <w:t>—</w:t>
            </w:r>
          </w:p>
        </w:tc>
        <w:tc>
          <w:tcPr>
            <w:tcW w:w="587" w:type="dxa"/>
            <w:vAlign w:val="center"/>
          </w:tcPr>
          <w:p>
            <w:pPr>
              <w:spacing w:line="240" w:lineRule="exact"/>
              <w:jc w:val="center"/>
              <w:rPr>
                <w:rFonts w:ascii="??_GB2312" w:hAnsi="宋体"/>
                <w:bCs/>
                <w:sz w:val="18"/>
                <w:szCs w:val="18"/>
              </w:rPr>
            </w:pPr>
            <w:r>
              <w:rPr>
                <w:rFonts w:hint="eastAsia" w:ascii="??_GB2312" w:hAnsi="宋体"/>
                <w:bCs/>
                <w:sz w:val="18"/>
                <w:szCs w:val="18"/>
              </w:rPr>
              <w:t>—</w:t>
            </w:r>
          </w:p>
        </w:tc>
        <w:tc>
          <w:tcPr>
            <w:tcW w:w="607" w:type="dxa"/>
            <w:vAlign w:val="center"/>
          </w:tcPr>
          <w:p>
            <w:pPr>
              <w:spacing w:line="240" w:lineRule="exact"/>
              <w:jc w:val="center"/>
              <w:rPr>
                <w:rFonts w:ascii="??_GB2312" w:hAnsi="宋体"/>
                <w:bCs/>
                <w:sz w:val="18"/>
                <w:szCs w:val="18"/>
              </w:rPr>
            </w:pPr>
            <w:r>
              <w:rPr>
                <w:rFonts w:hint="eastAsia" w:ascii="??_GB2312" w:hAnsi="宋体"/>
                <w:bCs/>
                <w:sz w:val="18"/>
                <w:szCs w:val="18"/>
              </w:rPr>
              <w:t>—</w:t>
            </w:r>
          </w:p>
        </w:tc>
        <w:tc>
          <w:tcPr>
            <w:tcW w:w="2486" w:type="dxa"/>
            <w:vAlign w:val="center"/>
          </w:tcPr>
          <w:p>
            <w:pPr>
              <w:spacing w:line="240" w:lineRule="exact"/>
              <w:jc w:val="center"/>
              <w:rPr>
                <w:rFonts w:ascii="??_GB2312" w:hAnsi="宋体" w:eastAsia="Times New Roman"/>
                <w:sz w:val="18"/>
                <w:szCs w:val="18"/>
              </w:rPr>
            </w:pPr>
            <w:r>
              <w:rPr>
                <w:rFonts w:hint="eastAsia" w:ascii="??_GB2312" w:hAnsi="宋体"/>
                <w:bCs/>
                <w:sz w:val="18"/>
                <w:szCs w:val="18"/>
              </w:rPr>
              <w:t>首次招生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exact"/>
          <w:jc w:val="center"/>
        </w:trPr>
        <w:tc>
          <w:tcPr>
            <w:tcW w:w="1670" w:type="dxa"/>
            <w:vAlign w:val="center"/>
          </w:tcPr>
          <w:p>
            <w:pPr>
              <w:spacing w:line="240" w:lineRule="exact"/>
              <w:jc w:val="center"/>
              <w:rPr>
                <w:rFonts w:ascii="??_GB2312" w:hAnsi="宋体" w:eastAsia="Times New Roman"/>
                <w:bCs/>
                <w:sz w:val="18"/>
                <w:szCs w:val="18"/>
              </w:rPr>
            </w:pPr>
            <w:r>
              <w:rPr>
                <w:rFonts w:hint="eastAsia" w:ascii="??_GB2312" w:hAnsi="宋体" w:eastAsia="Times New Roman"/>
                <w:bCs/>
                <w:sz w:val="18"/>
                <w:szCs w:val="18"/>
              </w:rPr>
              <w:t>旅游管理</w:t>
            </w:r>
          </w:p>
        </w:tc>
        <w:tc>
          <w:tcPr>
            <w:tcW w:w="720" w:type="dxa"/>
            <w:vAlign w:val="center"/>
          </w:tcPr>
          <w:p>
            <w:pPr>
              <w:spacing w:line="240" w:lineRule="exact"/>
              <w:jc w:val="center"/>
              <w:rPr>
                <w:rFonts w:ascii="??_GB2312" w:hAnsi="宋体"/>
                <w:b/>
                <w:bCs/>
                <w:color w:val="000000" w:themeColor="text1"/>
                <w:sz w:val="18"/>
                <w:szCs w:val="18"/>
                <w:u w:val="single"/>
                <w14:textFill>
                  <w14:solidFill>
                    <w14:schemeClr w14:val="tx1"/>
                  </w14:solidFill>
                </w14:textFill>
              </w:rPr>
            </w:pPr>
            <w:r>
              <w:rPr>
                <w:rFonts w:hint="eastAsia" w:ascii="??_GB2312" w:hAnsi="宋体"/>
                <w:b/>
                <w:bCs/>
                <w:color w:val="000000" w:themeColor="text1"/>
                <w:sz w:val="18"/>
                <w:szCs w:val="18"/>
                <w:u w:val="single"/>
                <w14:textFill>
                  <w14:solidFill>
                    <w14:schemeClr w14:val="tx1"/>
                  </w14:solidFill>
                </w14:textFill>
              </w:rPr>
              <w:t>150</w:t>
            </w:r>
          </w:p>
        </w:tc>
        <w:tc>
          <w:tcPr>
            <w:tcW w:w="866" w:type="dxa"/>
            <w:vAlign w:val="center"/>
          </w:tcPr>
          <w:p>
            <w:pPr>
              <w:spacing w:line="240" w:lineRule="exact"/>
              <w:jc w:val="center"/>
              <w:rPr>
                <w:rFonts w:ascii="??_GB2312" w:hAnsi="宋体" w:eastAsia="Times New Roman"/>
                <w:sz w:val="18"/>
                <w:szCs w:val="18"/>
              </w:rPr>
            </w:pPr>
            <w:r>
              <w:rPr>
                <w:rFonts w:hint="eastAsia" w:ascii="??_GB2312" w:hAnsi="宋体"/>
                <w:sz w:val="18"/>
                <w:szCs w:val="18"/>
              </w:rPr>
              <w:t>4590</w:t>
            </w:r>
          </w:p>
        </w:tc>
        <w:tc>
          <w:tcPr>
            <w:tcW w:w="2154" w:type="dxa"/>
            <w:vAlign w:val="center"/>
          </w:tcPr>
          <w:p>
            <w:pPr>
              <w:spacing w:line="240" w:lineRule="exact"/>
              <w:jc w:val="center"/>
              <w:rPr>
                <w:rFonts w:ascii="??_GB2312" w:hAnsi="Gungsuh"/>
                <w:sz w:val="18"/>
                <w:szCs w:val="18"/>
              </w:rPr>
            </w:pPr>
            <w:r>
              <w:rPr>
                <w:rFonts w:hint="eastAsia" w:ascii="??_GB2312" w:hAnsi="Gungsuh"/>
                <w:sz w:val="18"/>
                <w:szCs w:val="18"/>
              </w:rPr>
              <w:t>旅游管理类相关专业</w:t>
            </w:r>
          </w:p>
        </w:tc>
        <w:tc>
          <w:tcPr>
            <w:tcW w:w="606" w:type="dxa"/>
            <w:vAlign w:val="center"/>
          </w:tcPr>
          <w:p>
            <w:pPr>
              <w:spacing w:line="240" w:lineRule="exact"/>
              <w:jc w:val="center"/>
              <w:rPr>
                <w:rFonts w:ascii="??_GB2312" w:hAnsi="宋体"/>
                <w:bCs/>
                <w:sz w:val="18"/>
                <w:szCs w:val="18"/>
              </w:rPr>
            </w:pPr>
            <w:r>
              <w:rPr>
                <w:rFonts w:hint="eastAsia" w:ascii="??_GB2312" w:hAnsi="宋体"/>
                <w:bCs/>
                <w:sz w:val="18"/>
                <w:szCs w:val="18"/>
              </w:rPr>
              <w:t>—</w:t>
            </w:r>
          </w:p>
        </w:tc>
        <w:tc>
          <w:tcPr>
            <w:tcW w:w="587" w:type="dxa"/>
            <w:vAlign w:val="center"/>
          </w:tcPr>
          <w:p>
            <w:pPr>
              <w:spacing w:line="240" w:lineRule="exact"/>
              <w:jc w:val="center"/>
              <w:rPr>
                <w:rFonts w:ascii="??_GB2312" w:hAnsi="宋体"/>
                <w:bCs/>
                <w:sz w:val="18"/>
                <w:szCs w:val="18"/>
              </w:rPr>
            </w:pPr>
            <w:r>
              <w:rPr>
                <w:rFonts w:hint="eastAsia" w:ascii="??_GB2312" w:hAnsi="宋体"/>
                <w:bCs/>
                <w:sz w:val="18"/>
                <w:szCs w:val="18"/>
              </w:rPr>
              <w:t>—</w:t>
            </w:r>
          </w:p>
        </w:tc>
        <w:tc>
          <w:tcPr>
            <w:tcW w:w="607" w:type="dxa"/>
            <w:vAlign w:val="center"/>
          </w:tcPr>
          <w:p>
            <w:pPr>
              <w:spacing w:line="240" w:lineRule="exact"/>
              <w:jc w:val="center"/>
              <w:rPr>
                <w:rFonts w:ascii="??_GB2312" w:hAnsi="宋体"/>
                <w:bCs/>
                <w:sz w:val="18"/>
                <w:szCs w:val="18"/>
              </w:rPr>
            </w:pPr>
            <w:r>
              <w:rPr>
                <w:rFonts w:hint="eastAsia" w:ascii="??_GB2312" w:hAnsi="宋体"/>
                <w:bCs/>
                <w:sz w:val="18"/>
                <w:szCs w:val="18"/>
              </w:rPr>
              <w:t>—</w:t>
            </w:r>
          </w:p>
        </w:tc>
        <w:tc>
          <w:tcPr>
            <w:tcW w:w="2486" w:type="dxa"/>
            <w:vAlign w:val="center"/>
          </w:tcPr>
          <w:p>
            <w:pPr>
              <w:spacing w:line="240" w:lineRule="exact"/>
              <w:jc w:val="center"/>
              <w:rPr>
                <w:rFonts w:ascii="??_GB2312" w:hAnsi="宋体" w:eastAsia="Times New Roman"/>
                <w:sz w:val="18"/>
                <w:szCs w:val="18"/>
              </w:rPr>
            </w:pPr>
            <w:r>
              <w:rPr>
                <w:rFonts w:hint="eastAsia" w:ascii="??_GB2312" w:hAnsi="宋体"/>
                <w:bCs/>
                <w:sz w:val="18"/>
                <w:szCs w:val="18"/>
              </w:rPr>
              <w:t>首次招生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670" w:type="dxa"/>
            <w:tcBorders>
              <w:bottom w:val="single" w:color="auto" w:sz="4" w:space="0"/>
            </w:tcBorders>
            <w:vAlign w:val="center"/>
          </w:tcPr>
          <w:p>
            <w:pPr>
              <w:spacing w:line="240" w:lineRule="exact"/>
              <w:jc w:val="center"/>
              <w:rPr>
                <w:rFonts w:ascii="??_GB2312" w:hAnsi="宋体" w:eastAsia="Times New Roman"/>
                <w:sz w:val="18"/>
                <w:szCs w:val="18"/>
              </w:rPr>
            </w:pPr>
            <w:r>
              <w:rPr>
                <w:rFonts w:ascii="??_GB2312" w:hAnsi="宋体" w:eastAsia="Times New Roman"/>
                <w:sz w:val="18"/>
                <w:szCs w:val="18"/>
              </w:rPr>
              <w:t>合计</w:t>
            </w:r>
          </w:p>
        </w:tc>
        <w:tc>
          <w:tcPr>
            <w:tcW w:w="720" w:type="dxa"/>
            <w:tcBorders>
              <w:bottom w:val="single" w:color="auto" w:sz="4" w:space="0"/>
            </w:tcBorders>
            <w:vAlign w:val="center"/>
          </w:tcPr>
          <w:p>
            <w:pPr>
              <w:spacing w:line="240" w:lineRule="exact"/>
              <w:jc w:val="center"/>
              <w:rPr>
                <w:rFonts w:ascii="??_GB2312" w:hAnsi="宋体"/>
                <w:b/>
                <w:bCs/>
                <w:color w:val="000000" w:themeColor="text1"/>
                <w:sz w:val="18"/>
                <w:szCs w:val="18"/>
                <w:u w:val="single"/>
                <w14:textFill>
                  <w14:solidFill>
                    <w14:schemeClr w14:val="tx1"/>
                  </w14:solidFill>
                </w14:textFill>
              </w:rPr>
            </w:pPr>
            <w:r>
              <w:rPr>
                <w:rFonts w:hint="eastAsia" w:ascii="??_GB2312" w:hAnsi="宋体"/>
                <w:b/>
                <w:bCs/>
                <w:color w:val="000000" w:themeColor="text1"/>
                <w:sz w:val="22"/>
                <w:u w:val="single"/>
                <w14:textFill>
                  <w14:solidFill>
                    <w14:schemeClr w14:val="tx1"/>
                  </w14:solidFill>
                </w14:textFill>
              </w:rPr>
              <w:t>2015</w:t>
            </w:r>
          </w:p>
        </w:tc>
        <w:tc>
          <w:tcPr>
            <w:tcW w:w="3020" w:type="dxa"/>
            <w:gridSpan w:val="2"/>
            <w:tcBorders>
              <w:bottom w:val="single" w:color="auto" w:sz="4" w:space="0"/>
            </w:tcBorders>
            <w:vAlign w:val="center"/>
          </w:tcPr>
          <w:p>
            <w:pPr>
              <w:spacing w:line="240" w:lineRule="exact"/>
              <w:jc w:val="center"/>
              <w:rPr>
                <w:rFonts w:ascii="??_GB2312" w:hAnsi="宋体" w:eastAsia="Times New Roman"/>
                <w:sz w:val="18"/>
                <w:szCs w:val="18"/>
              </w:rPr>
            </w:pPr>
            <w:r>
              <w:rPr>
                <w:rFonts w:hint="eastAsia" w:ascii="??_GB2312" w:hAnsi="宋体" w:eastAsiaTheme="minorEastAsia"/>
                <w:bCs/>
                <w:sz w:val="18"/>
                <w:szCs w:val="18"/>
              </w:rPr>
              <w:t>共增计划600人</w:t>
            </w:r>
          </w:p>
        </w:tc>
        <w:tc>
          <w:tcPr>
            <w:tcW w:w="606" w:type="dxa"/>
            <w:tcBorders>
              <w:bottom w:val="single" w:color="auto" w:sz="4" w:space="0"/>
            </w:tcBorders>
            <w:vAlign w:val="center"/>
          </w:tcPr>
          <w:p>
            <w:pPr>
              <w:spacing w:line="240" w:lineRule="exact"/>
              <w:jc w:val="center"/>
              <w:rPr>
                <w:rFonts w:ascii="??_GB2312" w:hAnsi="宋体"/>
                <w:sz w:val="18"/>
                <w:szCs w:val="18"/>
              </w:rPr>
            </w:pPr>
            <w:r>
              <w:rPr>
                <w:rFonts w:hint="eastAsia" w:ascii="??_GB2312" w:hAnsi="宋体"/>
                <w:sz w:val="18"/>
                <w:szCs w:val="18"/>
              </w:rPr>
              <w:t>1339</w:t>
            </w:r>
          </w:p>
        </w:tc>
        <w:tc>
          <w:tcPr>
            <w:tcW w:w="587" w:type="dxa"/>
            <w:tcBorders>
              <w:bottom w:val="single" w:color="auto" w:sz="4" w:space="0"/>
            </w:tcBorders>
            <w:vAlign w:val="center"/>
          </w:tcPr>
          <w:p>
            <w:pPr>
              <w:spacing w:line="240" w:lineRule="exact"/>
              <w:jc w:val="center"/>
              <w:rPr>
                <w:rFonts w:ascii="??_GB2312" w:hAnsi="宋体"/>
                <w:sz w:val="18"/>
                <w:szCs w:val="18"/>
              </w:rPr>
            </w:pPr>
            <w:r>
              <w:rPr>
                <w:rFonts w:hint="eastAsia" w:ascii="??_GB2312" w:hAnsi="宋体"/>
                <w:sz w:val="18"/>
                <w:szCs w:val="18"/>
              </w:rPr>
              <w:t>158</w:t>
            </w:r>
          </w:p>
        </w:tc>
        <w:tc>
          <w:tcPr>
            <w:tcW w:w="607" w:type="dxa"/>
            <w:tcBorders>
              <w:bottom w:val="single" w:color="auto" w:sz="4" w:space="0"/>
            </w:tcBorders>
            <w:vAlign w:val="center"/>
          </w:tcPr>
          <w:p>
            <w:pPr>
              <w:spacing w:line="240" w:lineRule="exact"/>
              <w:jc w:val="center"/>
              <w:rPr>
                <w:rFonts w:ascii="??_GB2312" w:hAnsi="宋体"/>
                <w:bCs/>
                <w:sz w:val="18"/>
                <w:szCs w:val="18"/>
              </w:rPr>
            </w:pPr>
            <w:r>
              <w:rPr>
                <w:rFonts w:hint="eastAsia" w:ascii="??_GB2312" w:hAnsi="宋体"/>
                <w:bCs/>
                <w:sz w:val="18"/>
                <w:szCs w:val="18"/>
              </w:rPr>
              <w:t>196</w:t>
            </w:r>
          </w:p>
        </w:tc>
        <w:tc>
          <w:tcPr>
            <w:tcW w:w="2486" w:type="dxa"/>
            <w:tcBorders>
              <w:bottom w:val="single" w:color="auto" w:sz="4" w:space="0"/>
            </w:tcBorders>
            <w:vAlign w:val="center"/>
          </w:tcPr>
          <w:p>
            <w:pPr>
              <w:spacing w:line="240" w:lineRule="exact"/>
              <w:jc w:val="center"/>
              <w:rPr>
                <w:rFonts w:hint="eastAsia" w:ascii="??_GB2312" w:hAnsi="宋体" w:eastAsiaTheme="minorEastAsia"/>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9696" w:type="dxa"/>
            <w:gridSpan w:val="8"/>
            <w:tcBorders>
              <w:left w:val="nil"/>
              <w:bottom w:val="nil"/>
              <w:right w:val="nil"/>
            </w:tcBorders>
            <w:vAlign w:val="center"/>
          </w:tcPr>
          <w:p>
            <w:pPr>
              <w:spacing w:line="520" w:lineRule="exact"/>
              <w:ind w:firstLine="640" w:firstLineChars="200"/>
              <w:rPr>
                <w:rFonts w:hint="eastAsia"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注：计划数下面划横线的专业，增加一、两个教学班。</w:t>
            </w:r>
          </w:p>
        </w:tc>
      </w:tr>
    </w:tbl>
    <w:p>
      <w:pPr>
        <w:rPr>
          <w:rFonts w:ascii="楷体_GB2312" w:hAnsi="宋体" w:eastAsia="楷体_GB2312" w:cs="宋体"/>
          <w:b/>
          <w:bCs/>
          <w:color w:val="000000" w:themeColor="text1"/>
          <w:sz w:val="32"/>
          <w:szCs w:val="32"/>
          <w:u w:val="single"/>
          <w14:textFill>
            <w14:solidFill>
              <w14:schemeClr w14:val="tx1"/>
            </w14:solidFill>
          </w14:textFill>
        </w:rPr>
      </w:pPr>
      <w:r>
        <w:rPr>
          <w:rFonts w:hint="eastAsia" w:ascii="楷体_GB2312" w:hAnsi="宋体" w:eastAsia="楷体_GB2312" w:cs="宋体"/>
          <w:sz w:val="32"/>
          <w:szCs w:val="32"/>
        </w:rPr>
        <w:t>（二）请问今年插班生</w:t>
      </w:r>
      <w:r>
        <w:rPr>
          <w:rFonts w:hint="eastAsia" w:ascii="楷体_GB2312" w:hAnsi="宋体" w:eastAsia="楷体_GB2312" w:cs="宋体"/>
          <w:sz w:val="32"/>
          <w:szCs w:val="32"/>
          <w:lang w:eastAsia="zh-CN"/>
        </w:rPr>
        <w:t>与高职院校协同育人</w:t>
      </w:r>
      <w:r>
        <w:rPr>
          <w:rFonts w:hint="eastAsia" w:ascii="楷体_GB2312" w:hAnsi="宋体" w:eastAsia="楷体_GB2312" w:cs="宋体"/>
          <w:sz w:val="32"/>
          <w:szCs w:val="32"/>
        </w:rPr>
        <w:t>的计划是怎么样的？办学地点在哪儿？收费如何？</w:t>
      </w:r>
    </w:p>
    <w:p>
      <w:pPr>
        <w:spacing w:before="156" w:beforeLines="50" w:after="156" w:afterLines="50" w:line="560" w:lineRule="exact"/>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b/>
          <w:bCs/>
          <w:color w:val="000000" w:themeColor="text1"/>
          <w:sz w:val="36"/>
          <w:szCs w:val="36"/>
          <w14:textFill>
            <w14:solidFill>
              <w14:schemeClr w14:val="tx1"/>
            </w14:solidFill>
          </w14:textFill>
        </w:rPr>
        <w:t>肇庆学院插班生与高职院校</w:t>
      </w:r>
      <w:r>
        <w:rPr>
          <w:rFonts w:hint="eastAsia" w:ascii="方正小标宋简体" w:eastAsia="方正小标宋简体"/>
          <w:b/>
          <w:bCs/>
          <w:color w:val="000000" w:themeColor="text1"/>
          <w:sz w:val="36"/>
          <w:szCs w:val="36"/>
          <w:lang w:eastAsia="zh-CN"/>
          <w14:textFill>
            <w14:solidFill>
              <w14:schemeClr w14:val="tx1"/>
            </w14:solidFill>
          </w14:textFill>
        </w:rPr>
        <w:t>协同育人</w:t>
      </w:r>
      <w:r>
        <w:rPr>
          <w:rFonts w:hint="eastAsia" w:ascii="方正小标宋简体" w:eastAsia="方正小标宋简体"/>
          <w:b/>
          <w:bCs/>
          <w:color w:val="000000" w:themeColor="text1"/>
          <w:sz w:val="36"/>
          <w:szCs w:val="36"/>
          <w14:textFill>
            <w14:solidFill>
              <w14:schemeClr w14:val="tx1"/>
            </w14:solidFill>
          </w14:textFill>
        </w:rPr>
        <w:t>计划表</w:t>
      </w:r>
    </w:p>
    <w:tbl>
      <w:tblPr>
        <w:tblStyle w:val="6"/>
        <w:tblW w:w="923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843"/>
        <w:gridCol w:w="709"/>
        <w:gridCol w:w="2877"/>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1560" w:type="dxa"/>
            <w:vAlign w:val="center"/>
          </w:tcPr>
          <w:p>
            <w:pPr>
              <w:spacing w:line="400" w:lineRule="exact"/>
              <w:jc w:val="center"/>
              <w:rPr>
                <w:rFonts w:ascii="Times New Roman" w:hAnsi="Times New Roman"/>
                <w:b/>
                <w:bCs/>
                <w:color w:val="000000" w:themeColor="text1"/>
                <w:sz w:val="22"/>
                <w14:textFill>
                  <w14:solidFill>
                    <w14:schemeClr w14:val="tx1"/>
                  </w14:solidFill>
                </w14:textFill>
              </w:rPr>
            </w:pPr>
            <w:r>
              <w:rPr>
                <w:rFonts w:ascii="Times New Roman" w:hAnsi="Times New Roman"/>
                <w:b/>
                <w:bCs/>
                <w:color w:val="000000" w:themeColor="text1"/>
                <w:sz w:val="22"/>
                <w14:textFill>
                  <w14:solidFill>
                    <w14:schemeClr w14:val="tx1"/>
                  </w14:solidFill>
                </w14:textFill>
              </w:rPr>
              <w:t>所在二级学院</w:t>
            </w:r>
          </w:p>
        </w:tc>
        <w:tc>
          <w:tcPr>
            <w:tcW w:w="1843" w:type="dxa"/>
            <w:vAlign w:val="center"/>
          </w:tcPr>
          <w:p>
            <w:pPr>
              <w:spacing w:line="400" w:lineRule="exact"/>
              <w:ind w:firstLine="442" w:firstLineChars="200"/>
              <w:rPr>
                <w:rFonts w:ascii="Times New Roman" w:hAnsi="Times New Roman"/>
                <w:b/>
                <w:bCs/>
                <w:color w:val="000000" w:themeColor="text1"/>
                <w:sz w:val="22"/>
                <w14:textFill>
                  <w14:solidFill>
                    <w14:schemeClr w14:val="tx1"/>
                  </w14:solidFill>
                </w14:textFill>
              </w:rPr>
            </w:pPr>
            <w:r>
              <w:rPr>
                <w:rFonts w:ascii="Times New Roman" w:hAnsi="Times New Roman"/>
                <w:b/>
                <w:bCs/>
                <w:color w:val="000000" w:themeColor="text1"/>
                <w:sz w:val="22"/>
                <w14:textFill>
                  <w14:solidFill>
                    <w14:schemeClr w14:val="tx1"/>
                  </w14:solidFill>
                </w14:textFill>
              </w:rPr>
              <w:t>专业</w:t>
            </w:r>
          </w:p>
        </w:tc>
        <w:tc>
          <w:tcPr>
            <w:tcW w:w="709" w:type="dxa"/>
            <w:vAlign w:val="center"/>
          </w:tcPr>
          <w:p>
            <w:pPr>
              <w:spacing w:line="400" w:lineRule="exact"/>
              <w:jc w:val="center"/>
              <w:rPr>
                <w:rFonts w:ascii="Times New Roman" w:hAnsi="Times New Roman"/>
                <w:b/>
                <w:bCs/>
                <w:color w:val="000000" w:themeColor="text1"/>
                <w:sz w:val="22"/>
                <w14:textFill>
                  <w14:solidFill>
                    <w14:schemeClr w14:val="tx1"/>
                  </w14:solidFill>
                </w14:textFill>
              </w:rPr>
            </w:pPr>
            <w:r>
              <w:rPr>
                <w:rFonts w:ascii="Times New Roman" w:hAnsi="Times New Roman"/>
                <w:b/>
                <w:bCs/>
                <w:color w:val="000000" w:themeColor="text1"/>
                <w:sz w:val="22"/>
                <w14:textFill>
                  <w14:solidFill>
                    <w14:schemeClr w14:val="tx1"/>
                  </w14:solidFill>
                </w14:textFill>
              </w:rPr>
              <w:t>计划</w:t>
            </w:r>
          </w:p>
        </w:tc>
        <w:tc>
          <w:tcPr>
            <w:tcW w:w="2877" w:type="dxa"/>
            <w:vAlign w:val="center"/>
          </w:tcPr>
          <w:p>
            <w:pPr>
              <w:spacing w:line="400" w:lineRule="exact"/>
              <w:jc w:val="center"/>
              <w:rPr>
                <w:rFonts w:ascii="Times New Roman" w:hAnsi="Times New Roman"/>
                <w:b/>
                <w:bCs/>
                <w:color w:val="000000" w:themeColor="text1"/>
                <w:sz w:val="22"/>
                <w14:textFill>
                  <w14:solidFill>
                    <w14:schemeClr w14:val="tx1"/>
                  </w14:solidFill>
                </w14:textFill>
              </w:rPr>
            </w:pPr>
            <w:r>
              <w:rPr>
                <w:rFonts w:hint="eastAsia" w:ascii="Times New Roman" w:hAnsi="Times New Roman"/>
                <w:b/>
                <w:bCs/>
                <w:color w:val="000000" w:themeColor="text1"/>
                <w:sz w:val="22"/>
                <w14:textFill>
                  <w14:solidFill>
                    <w14:schemeClr w14:val="tx1"/>
                  </w14:solidFill>
                </w14:textFill>
              </w:rPr>
              <w:t>教学</w:t>
            </w:r>
            <w:r>
              <w:rPr>
                <w:rFonts w:ascii="Times New Roman" w:hAnsi="Times New Roman"/>
                <w:b/>
                <w:bCs/>
                <w:color w:val="000000" w:themeColor="text1"/>
                <w:sz w:val="22"/>
                <w14:textFill>
                  <w14:solidFill>
                    <w14:schemeClr w14:val="tx1"/>
                  </w14:solidFill>
                </w14:textFill>
              </w:rPr>
              <w:t>地点</w:t>
            </w:r>
          </w:p>
        </w:tc>
        <w:tc>
          <w:tcPr>
            <w:tcW w:w="2250" w:type="dxa"/>
            <w:vAlign w:val="center"/>
          </w:tcPr>
          <w:p>
            <w:pPr>
              <w:spacing w:line="400" w:lineRule="exact"/>
              <w:jc w:val="center"/>
              <w:rPr>
                <w:rFonts w:ascii="Times New Roman" w:hAnsi="Times New Roman"/>
                <w:b/>
                <w:bCs/>
                <w:color w:val="000000" w:themeColor="text1"/>
                <w:sz w:val="22"/>
                <w14:textFill>
                  <w14:solidFill>
                    <w14:schemeClr w14:val="tx1"/>
                  </w14:solidFill>
                </w14:textFill>
              </w:rPr>
            </w:pPr>
            <w:r>
              <w:rPr>
                <w:rFonts w:ascii="Times New Roman" w:hAnsi="Times New Roman"/>
                <w:b/>
                <w:bCs/>
                <w:color w:val="000000" w:themeColor="text1"/>
                <w:sz w:val="22"/>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560" w:type="dxa"/>
            <w:vAlign w:val="center"/>
          </w:tcPr>
          <w:p>
            <w:pPr>
              <w:spacing w:line="400" w:lineRule="exact"/>
              <w:jc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sz w:val="22"/>
                <w14:textFill>
                  <w14:solidFill>
                    <w14:schemeClr w14:val="tx1"/>
                  </w14:solidFill>
                </w14:textFill>
              </w:rPr>
              <w:t>计算机科学与软件学院</w:t>
            </w:r>
          </w:p>
        </w:tc>
        <w:tc>
          <w:tcPr>
            <w:tcW w:w="1843" w:type="dxa"/>
            <w:vAlign w:val="center"/>
          </w:tcPr>
          <w:p>
            <w:pPr>
              <w:spacing w:line="400" w:lineRule="exact"/>
              <w:jc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sz w:val="22"/>
                <w14:textFill>
                  <w14:solidFill>
                    <w14:schemeClr w14:val="tx1"/>
                  </w14:solidFill>
                </w14:textFill>
              </w:rPr>
              <w:t>计算机科学与技术</w:t>
            </w:r>
            <w:r>
              <w:rPr>
                <w:rFonts w:hint="eastAsia" w:ascii="Times New Roman" w:hAnsi="Times New Roman"/>
                <w:color w:val="000000" w:themeColor="text1"/>
                <w:sz w:val="22"/>
                <w14:textFill>
                  <w14:solidFill>
                    <w14:schemeClr w14:val="tx1"/>
                  </w14:solidFill>
                </w14:textFill>
              </w:rPr>
              <w:t>（师范）</w:t>
            </w:r>
          </w:p>
        </w:tc>
        <w:tc>
          <w:tcPr>
            <w:tcW w:w="709" w:type="dxa"/>
            <w:vAlign w:val="center"/>
          </w:tcPr>
          <w:p>
            <w:pPr>
              <w:spacing w:line="400" w:lineRule="exact"/>
              <w:jc w:val="center"/>
              <w:rPr>
                <w:rFonts w:ascii="Times New Roman" w:hAnsi="Times New Roman"/>
                <w:b/>
                <w:bCs/>
                <w:color w:val="000000" w:themeColor="text1"/>
                <w:sz w:val="22"/>
                <w14:textFill>
                  <w14:solidFill>
                    <w14:schemeClr w14:val="tx1"/>
                  </w14:solidFill>
                </w14:textFill>
              </w:rPr>
            </w:pPr>
            <w:r>
              <w:rPr>
                <w:rFonts w:ascii="Times New Roman" w:hAnsi="Times New Roman"/>
                <w:b/>
                <w:bCs/>
                <w:color w:val="000000" w:themeColor="text1"/>
                <w:sz w:val="22"/>
                <w14:textFill>
                  <w14:solidFill>
                    <w14:schemeClr w14:val="tx1"/>
                  </w14:solidFill>
                </w14:textFill>
              </w:rPr>
              <w:t>45</w:t>
            </w:r>
          </w:p>
        </w:tc>
        <w:tc>
          <w:tcPr>
            <w:tcW w:w="2877" w:type="dxa"/>
            <w:vAlign w:val="center"/>
          </w:tcPr>
          <w:p>
            <w:pPr>
              <w:spacing w:line="400" w:lineRule="exact"/>
              <w:jc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sz w:val="22"/>
                <w14:textFill>
                  <w14:solidFill>
                    <w14:schemeClr w14:val="tx1"/>
                  </w14:solidFill>
                </w14:textFill>
              </w:rPr>
              <w:t>广东科学技术职业学院</w:t>
            </w:r>
          </w:p>
          <w:p>
            <w:pPr>
              <w:spacing w:line="400" w:lineRule="exact"/>
              <w:jc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sz w:val="22"/>
                <w14:textFill>
                  <w14:solidFill>
                    <w14:schemeClr w14:val="tx1"/>
                  </w14:solidFill>
                </w14:textFill>
              </w:rPr>
              <w:t>（广州校区）</w:t>
            </w:r>
          </w:p>
        </w:tc>
        <w:tc>
          <w:tcPr>
            <w:tcW w:w="2250" w:type="dxa"/>
            <w:vAlign w:val="center"/>
          </w:tcPr>
          <w:p>
            <w:pPr>
              <w:spacing w:line="400" w:lineRule="exact"/>
              <w:jc w:val="center"/>
              <w:rPr>
                <w:rFonts w:hint="default" w:ascii="Times New Roman" w:hAnsi="Times New Roman" w:eastAsia="宋体"/>
                <w:color w:val="000000" w:themeColor="text1"/>
                <w:sz w:val="22"/>
                <w:lang w:val="en-US" w:eastAsia="zh-CN"/>
                <w14:textFill>
                  <w14:solidFill>
                    <w14:schemeClr w14:val="tx1"/>
                  </w14:solidFill>
                </w14:textFill>
              </w:rPr>
            </w:pPr>
            <w:r>
              <w:rPr>
                <w:rFonts w:ascii="Times New Roman" w:hAnsi="Times New Roman"/>
                <w:color w:val="000000" w:themeColor="text1"/>
                <w:sz w:val="22"/>
                <w14:textFill>
                  <w14:solidFill>
                    <w14:schemeClr w14:val="tx1"/>
                  </w14:solidFill>
                </w14:textFill>
              </w:rPr>
              <w:t>住宿费：1200元</w:t>
            </w:r>
            <w:r>
              <w:rPr>
                <w:rFonts w:hint="eastAsia" w:ascii="Times New Roman" w:hAnsi="Times New Roman"/>
                <w:color w:val="000000" w:themeColor="text1"/>
                <w:sz w:val="22"/>
                <w:lang w:eastAsia="zh-CN"/>
                <w14:textFill>
                  <w14:solidFill>
                    <w14:schemeClr w14:val="tx1"/>
                  </w14:solidFill>
                </w14:textFill>
              </w:rPr>
              <w:t>；</w:t>
            </w:r>
            <w:r>
              <w:rPr>
                <w:rFonts w:hint="eastAsia" w:ascii="Times New Roman" w:hAnsi="Times New Roman"/>
                <w:color w:val="000000" w:themeColor="text1"/>
                <w:sz w:val="22"/>
                <w:lang w:val="en-US" w:eastAsia="zh-CN"/>
                <w14:textFill>
                  <w14:solidFill>
                    <w14:schemeClr w14:val="tx1"/>
                  </w14:solidFill>
                </w14:textFill>
              </w:rPr>
              <w:t xml:space="preserve">   </w:t>
            </w:r>
            <w:r>
              <w:rPr>
                <w:rFonts w:hint="eastAsia" w:ascii="Times New Roman" w:hAnsi="Times New Roman"/>
                <w:color w:val="000000" w:themeColor="text1"/>
                <w:sz w:val="22"/>
                <w:lang w:eastAsia="zh-CN"/>
                <w14:textFill>
                  <w14:solidFill>
                    <w14:schemeClr w14:val="tx1"/>
                  </w14:solidFill>
                </w14:textFill>
              </w:rPr>
              <w:t>电话</w:t>
            </w:r>
            <w:r>
              <w:rPr>
                <w:rFonts w:hint="eastAsia" w:ascii="Times New Roman" w:hAnsi="Times New Roman"/>
                <w:color w:val="000000" w:themeColor="text1"/>
                <w:sz w:val="22"/>
                <w:lang w:val="en-US" w:eastAsia="zh-CN"/>
                <w14:textFill>
                  <w14:solidFill>
                    <w14:schemeClr w14:val="tx1"/>
                  </w14:solidFill>
                </w14:textFill>
              </w:rPr>
              <w:t>020－85297313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560" w:type="dxa"/>
            <w:vMerge w:val="restart"/>
            <w:vAlign w:val="center"/>
          </w:tcPr>
          <w:p>
            <w:pPr>
              <w:spacing w:line="400" w:lineRule="exact"/>
              <w:jc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sz w:val="22"/>
                <w14:textFill>
                  <w14:solidFill>
                    <w14:schemeClr w14:val="tx1"/>
                  </w14:solidFill>
                </w14:textFill>
              </w:rPr>
              <w:t>经济与管理学院</w:t>
            </w:r>
          </w:p>
        </w:tc>
        <w:tc>
          <w:tcPr>
            <w:tcW w:w="1843" w:type="dxa"/>
            <w:vAlign w:val="center"/>
          </w:tcPr>
          <w:p>
            <w:pPr>
              <w:spacing w:line="400" w:lineRule="exact"/>
              <w:jc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sz w:val="22"/>
                <w14:textFill>
                  <w14:solidFill>
                    <w14:schemeClr w14:val="tx1"/>
                  </w14:solidFill>
                </w14:textFill>
              </w:rPr>
              <w:t>国际经济与贸易</w:t>
            </w:r>
          </w:p>
        </w:tc>
        <w:tc>
          <w:tcPr>
            <w:tcW w:w="709" w:type="dxa"/>
            <w:vAlign w:val="center"/>
          </w:tcPr>
          <w:p>
            <w:pPr>
              <w:spacing w:line="400" w:lineRule="exact"/>
              <w:jc w:val="center"/>
              <w:rPr>
                <w:rFonts w:ascii="Times New Roman" w:hAnsi="Times New Roman"/>
                <w:b/>
                <w:bCs/>
                <w:color w:val="000000" w:themeColor="text1"/>
                <w:sz w:val="22"/>
                <w14:textFill>
                  <w14:solidFill>
                    <w14:schemeClr w14:val="tx1"/>
                  </w14:solidFill>
                </w14:textFill>
              </w:rPr>
            </w:pPr>
            <w:r>
              <w:rPr>
                <w:rFonts w:ascii="Times New Roman" w:hAnsi="Times New Roman"/>
                <w:b/>
                <w:bCs/>
                <w:color w:val="000000" w:themeColor="text1"/>
                <w:sz w:val="22"/>
                <w14:textFill>
                  <w14:solidFill>
                    <w14:schemeClr w14:val="tx1"/>
                  </w14:solidFill>
                </w14:textFill>
              </w:rPr>
              <w:t>55</w:t>
            </w:r>
          </w:p>
        </w:tc>
        <w:tc>
          <w:tcPr>
            <w:tcW w:w="2877" w:type="dxa"/>
            <w:vAlign w:val="center"/>
          </w:tcPr>
          <w:p>
            <w:pPr>
              <w:spacing w:line="400" w:lineRule="exact"/>
              <w:jc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sz w:val="22"/>
                <w14:textFill>
                  <w14:solidFill>
                    <w14:schemeClr w14:val="tx1"/>
                  </w14:solidFill>
                </w14:textFill>
              </w:rPr>
              <w:t>广东科学技术职业学院</w:t>
            </w:r>
          </w:p>
          <w:p>
            <w:pPr>
              <w:spacing w:line="400" w:lineRule="exact"/>
              <w:jc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sz w:val="22"/>
                <w14:textFill>
                  <w14:solidFill>
                    <w14:schemeClr w14:val="tx1"/>
                  </w14:solidFill>
                </w14:textFill>
              </w:rPr>
              <w:t>（珠海校区）</w:t>
            </w:r>
          </w:p>
        </w:tc>
        <w:tc>
          <w:tcPr>
            <w:tcW w:w="2250" w:type="dxa"/>
            <w:vAlign w:val="center"/>
          </w:tcPr>
          <w:p>
            <w:pPr>
              <w:spacing w:line="400" w:lineRule="exact"/>
              <w:jc w:val="center"/>
              <w:rPr>
                <w:rFonts w:hint="default" w:ascii="Times New Roman" w:hAnsi="Times New Roman" w:eastAsia="宋体"/>
                <w:color w:val="000000" w:themeColor="text1"/>
                <w:sz w:val="22"/>
                <w:lang w:val="en-US" w:eastAsia="zh-CN"/>
                <w14:textFill>
                  <w14:solidFill>
                    <w14:schemeClr w14:val="tx1"/>
                  </w14:solidFill>
                </w14:textFill>
              </w:rPr>
            </w:pPr>
            <w:r>
              <w:rPr>
                <w:rFonts w:ascii="Times New Roman" w:hAnsi="Times New Roman"/>
                <w:color w:val="000000" w:themeColor="text1"/>
                <w:sz w:val="22"/>
                <w14:textFill>
                  <w14:solidFill>
                    <w14:schemeClr w14:val="tx1"/>
                  </w14:solidFill>
                </w14:textFill>
              </w:rPr>
              <w:t>住宿费：1700-1800元</w:t>
            </w:r>
            <w:r>
              <w:rPr>
                <w:rFonts w:hint="eastAsia" w:ascii="Times New Roman" w:hAnsi="Times New Roman"/>
                <w:color w:val="000000" w:themeColor="text1"/>
                <w:sz w:val="22"/>
                <w:lang w:eastAsia="zh-CN"/>
                <w14:textFill>
                  <w14:solidFill>
                    <w14:schemeClr w14:val="tx1"/>
                  </w14:solidFill>
                </w14:textFill>
              </w:rPr>
              <w:t>电话</w:t>
            </w:r>
            <w:r>
              <w:rPr>
                <w:rFonts w:hint="eastAsia" w:ascii="Times New Roman" w:hAnsi="Times New Roman"/>
                <w:color w:val="000000" w:themeColor="text1"/>
                <w:sz w:val="22"/>
                <w:lang w:val="en-US" w:eastAsia="zh-CN"/>
                <w14:textFill>
                  <w14:solidFill>
                    <w14:schemeClr w14:val="tx1"/>
                  </w14:solidFill>
                </w14:textFill>
              </w:rPr>
              <w:t>0756－7796211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560" w:type="dxa"/>
            <w:vMerge w:val="continue"/>
            <w:vAlign w:val="center"/>
          </w:tcPr>
          <w:p>
            <w:pPr>
              <w:spacing w:line="400" w:lineRule="exact"/>
              <w:jc w:val="center"/>
              <w:rPr>
                <w:rFonts w:ascii="Times New Roman" w:hAnsi="Times New Roman"/>
                <w:color w:val="000000" w:themeColor="text1"/>
                <w:sz w:val="22"/>
                <w14:textFill>
                  <w14:solidFill>
                    <w14:schemeClr w14:val="tx1"/>
                  </w14:solidFill>
                </w14:textFill>
              </w:rPr>
            </w:pPr>
          </w:p>
        </w:tc>
        <w:tc>
          <w:tcPr>
            <w:tcW w:w="1843" w:type="dxa"/>
            <w:vAlign w:val="center"/>
          </w:tcPr>
          <w:p>
            <w:pPr>
              <w:spacing w:line="400" w:lineRule="exact"/>
              <w:jc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sz w:val="22"/>
                <w14:textFill>
                  <w14:solidFill>
                    <w14:schemeClr w14:val="tx1"/>
                  </w14:solidFill>
                </w14:textFill>
              </w:rPr>
              <w:t>会计学</w:t>
            </w:r>
          </w:p>
        </w:tc>
        <w:tc>
          <w:tcPr>
            <w:tcW w:w="709" w:type="dxa"/>
            <w:vAlign w:val="center"/>
          </w:tcPr>
          <w:p>
            <w:pPr>
              <w:spacing w:line="400" w:lineRule="exact"/>
              <w:jc w:val="center"/>
              <w:rPr>
                <w:rFonts w:ascii="Times New Roman" w:hAnsi="Times New Roman"/>
                <w:b/>
                <w:bCs/>
                <w:color w:val="000000" w:themeColor="text1"/>
                <w:sz w:val="22"/>
                <w14:textFill>
                  <w14:solidFill>
                    <w14:schemeClr w14:val="tx1"/>
                  </w14:solidFill>
                </w14:textFill>
              </w:rPr>
            </w:pPr>
            <w:r>
              <w:rPr>
                <w:rFonts w:ascii="Times New Roman" w:hAnsi="Times New Roman"/>
                <w:b/>
                <w:bCs/>
                <w:color w:val="000000" w:themeColor="text1"/>
                <w:sz w:val="22"/>
                <w14:textFill>
                  <w14:solidFill>
                    <w14:schemeClr w14:val="tx1"/>
                  </w14:solidFill>
                </w14:textFill>
              </w:rPr>
              <w:t>50</w:t>
            </w:r>
          </w:p>
        </w:tc>
        <w:tc>
          <w:tcPr>
            <w:tcW w:w="2877" w:type="dxa"/>
            <w:vAlign w:val="center"/>
          </w:tcPr>
          <w:p>
            <w:pPr>
              <w:spacing w:line="400" w:lineRule="exact"/>
              <w:jc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sz w:val="22"/>
                <w14:textFill>
                  <w14:solidFill>
                    <w14:schemeClr w14:val="tx1"/>
                  </w14:solidFill>
                </w14:textFill>
              </w:rPr>
              <w:t>广东科学技术职业学院</w:t>
            </w:r>
          </w:p>
          <w:p>
            <w:pPr>
              <w:spacing w:line="400" w:lineRule="exact"/>
              <w:jc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sz w:val="22"/>
                <w14:textFill>
                  <w14:solidFill>
                    <w14:schemeClr w14:val="tx1"/>
                  </w14:solidFill>
                </w14:textFill>
              </w:rPr>
              <w:t>（珠海校区）</w:t>
            </w:r>
          </w:p>
        </w:tc>
        <w:tc>
          <w:tcPr>
            <w:tcW w:w="2250" w:type="dxa"/>
            <w:vAlign w:val="center"/>
          </w:tcPr>
          <w:p>
            <w:pPr>
              <w:spacing w:line="400" w:lineRule="exact"/>
              <w:jc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sz w:val="22"/>
                <w14:textFill>
                  <w14:solidFill>
                    <w14:schemeClr w14:val="tx1"/>
                  </w14:solidFill>
                </w14:textFill>
              </w:rPr>
              <w:t>住宿费：1700-1800元</w:t>
            </w:r>
            <w:r>
              <w:rPr>
                <w:rFonts w:hint="eastAsia" w:ascii="Times New Roman" w:hAnsi="Times New Roman"/>
                <w:color w:val="000000" w:themeColor="text1"/>
                <w:sz w:val="22"/>
                <w:lang w:eastAsia="zh-CN"/>
                <w14:textFill>
                  <w14:solidFill>
                    <w14:schemeClr w14:val="tx1"/>
                  </w14:solidFill>
                </w14:textFill>
              </w:rPr>
              <w:t>电话</w:t>
            </w:r>
            <w:r>
              <w:rPr>
                <w:rFonts w:hint="eastAsia" w:ascii="Times New Roman" w:hAnsi="Times New Roman"/>
                <w:color w:val="000000" w:themeColor="text1"/>
                <w:sz w:val="22"/>
                <w:lang w:val="en-US" w:eastAsia="zh-CN"/>
                <w14:textFill>
                  <w14:solidFill>
                    <w14:schemeClr w14:val="tx1"/>
                  </w14:solidFill>
                </w14:textFill>
              </w:rPr>
              <w:t>0756－7796211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1560" w:type="dxa"/>
            <w:vMerge w:val="continue"/>
            <w:vAlign w:val="center"/>
          </w:tcPr>
          <w:p>
            <w:pPr>
              <w:spacing w:line="400" w:lineRule="exact"/>
              <w:jc w:val="center"/>
              <w:rPr>
                <w:rFonts w:ascii="Times New Roman" w:hAnsi="Times New Roman"/>
                <w:color w:val="000000" w:themeColor="text1"/>
                <w:sz w:val="22"/>
                <w14:textFill>
                  <w14:solidFill>
                    <w14:schemeClr w14:val="tx1"/>
                  </w14:solidFill>
                </w14:textFill>
              </w:rPr>
            </w:pPr>
          </w:p>
        </w:tc>
        <w:tc>
          <w:tcPr>
            <w:tcW w:w="1843" w:type="dxa"/>
            <w:vMerge w:val="restart"/>
            <w:vAlign w:val="center"/>
          </w:tcPr>
          <w:p>
            <w:pPr>
              <w:spacing w:line="400" w:lineRule="exact"/>
              <w:jc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sz w:val="22"/>
                <w14:textFill>
                  <w14:solidFill>
                    <w14:schemeClr w14:val="tx1"/>
                  </w14:solidFill>
                </w14:textFill>
              </w:rPr>
              <w:t>市场营销</w:t>
            </w:r>
          </w:p>
        </w:tc>
        <w:tc>
          <w:tcPr>
            <w:tcW w:w="709" w:type="dxa"/>
            <w:vAlign w:val="center"/>
          </w:tcPr>
          <w:p>
            <w:pPr>
              <w:spacing w:line="400" w:lineRule="exact"/>
              <w:jc w:val="center"/>
              <w:rPr>
                <w:rFonts w:ascii="Times New Roman" w:hAnsi="Times New Roman"/>
                <w:b/>
                <w:bCs/>
                <w:color w:val="000000" w:themeColor="text1"/>
                <w:sz w:val="22"/>
                <w14:textFill>
                  <w14:solidFill>
                    <w14:schemeClr w14:val="tx1"/>
                  </w14:solidFill>
                </w14:textFill>
              </w:rPr>
            </w:pPr>
            <w:r>
              <w:rPr>
                <w:rFonts w:ascii="Times New Roman" w:hAnsi="Times New Roman"/>
                <w:b/>
                <w:bCs/>
                <w:color w:val="000000" w:themeColor="text1"/>
                <w:sz w:val="22"/>
                <w14:textFill>
                  <w14:solidFill>
                    <w14:schemeClr w14:val="tx1"/>
                  </w14:solidFill>
                </w14:textFill>
              </w:rPr>
              <w:t>50</w:t>
            </w:r>
          </w:p>
        </w:tc>
        <w:tc>
          <w:tcPr>
            <w:tcW w:w="2877" w:type="dxa"/>
            <w:vAlign w:val="center"/>
          </w:tcPr>
          <w:p>
            <w:pPr>
              <w:spacing w:line="400" w:lineRule="exact"/>
              <w:jc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sz w:val="22"/>
                <w14:textFill>
                  <w14:solidFill>
                    <w14:schemeClr w14:val="tx1"/>
                  </w14:solidFill>
                </w14:textFill>
              </w:rPr>
              <w:t>广东水利电力职业技术学院（从化校区）</w:t>
            </w:r>
          </w:p>
        </w:tc>
        <w:tc>
          <w:tcPr>
            <w:tcW w:w="2250" w:type="dxa"/>
            <w:vAlign w:val="center"/>
          </w:tcPr>
          <w:p>
            <w:pPr>
              <w:spacing w:line="400" w:lineRule="exact"/>
              <w:jc w:val="center"/>
              <w:rPr>
                <w:rFonts w:hint="default" w:ascii="Times New Roman" w:hAnsi="Times New Roman"/>
                <w:color w:val="000000" w:themeColor="text1"/>
                <w:sz w:val="22"/>
                <w:lang w:val="en-US"/>
                <w14:textFill>
                  <w14:solidFill>
                    <w14:schemeClr w14:val="tx1"/>
                  </w14:solidFill>
                </w14:textFill>
              </w:rPr>
            </w:pPr>
            <w:r>
              <w:rPr>
                <w:rFonts w:ascii="Times New Roman" w:hAnsi="Times New Roman"/>
                <w:color w:val="000000" w:themeColor="text1"/>
                <w:sz w:val="22"/>
                <w14:textFill>
                  <w14:solidFill>
                    <w14:schemeClr w14:val="tx1"/>
                  </w14:solidFill>
                </w14:textFill>
              </w:rPr>
              <w:t>住宿费：1000元</w:t>
            </w:r>
            <w:r>
              <w:rPr>
                <w:rFonts w:hint="eastAsia" w:ascii="Times New Roman" w:hAnsi="Times New Roman"/>
                <w:color w:val="000000" w:themeColor="text1"/>
                <w:sz w:val="22"/>
                <w:lang w:eastAsia="zh-CN"/>
                <w14:textFill>
                  <w14:solidFill>
                    <w14:schemeClr w14:val="tx1"/>
                  </w14:solidFill>
                </w14:textFill>
              </w:rPr>
              <w:t>；</w:t>
            </w:r>
            <w:r>
              <w:rPr>
                <w:rFonts w:hint="eastAsia" w:ascii="Times New Roman" w:hAnsi="Times New Roman"/>
                <w:color w:val="000000" w:themeColor="text1"/>
                <w:sz w:val="22"/>
                <w:lang w:val="en-US" w:eastAsia="zh-CN"/>
                <w14:textFill>
                  <w14:solidFill>
                    <w14:schemeClr w14:val="tx1"/>
                  </w14:solidFill>
                </w14:textFill>
              </w:rPr>
              <w:t xml:space="preserve">   </w:t>
            </w:r>
            <w:r>
              <w:rPr>
                <w:rFonts w:hint="eastAsia" w:ascii="Times New Roman" w:hAnsi="Times New Roman"/>
                <w:color w:val="000000" w:themeColor="text1"/>
                <w:sz w:val="22"/>
                <w:lang w:eastAsia="zh-CN"/>
                <w14:textFill>
                  <w14:solidFill>
                    <w14:schemeClr w14:val="tx1"/>
                  </w14:solidFill>
                </w14:textFill>
              </w:rPr>
              <w:t>电话</w:t>
            </w:r>
            <w:r>
              <w:rPr>
                <w:rFonts w:hint="eastAsia" w:ascii="Times New Roman" w:hAnsi="Times New Roman"/>
                <w:color w:val="000000" w:themeColor="text1"/>
                <w:sz w:val="22"/>
                <w:lang w:val="en-US" w:eastAsia="zh-CN"/>
                <w14:textFill>
                  <w14:solidFill>
                    <w14:schemeClr w14:val="tx1"/>
                  </w14:solidFill>
                </w14:textFill>
              </w:rPr>
              <w:t>020－87993480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1560" w:type="dxa"/>
            <w:vMerge w:val="continue"/>
            <w:vAlign w:val="center"/>
          </w:tcPr>
          <w:p>
            <w:pPr>
              <w:spacing w:line="400" w:lineRule="exact"/>
              <w:jc w:val="center"/>
              <w:rPr>
                <w:rFonts w:ascii="Times New Roman" w:hAnsi="Times New Roman"/>
                <w:color w:val="000000" w:themeColor="text1"/>
                <w:sz w:val="22"/>
                <w14:textFill>
                  <w14:solidFill>
                    <w14:schemeClr w14:val="tx1"/>
                  </w14:solidFill>
                </w14:textFill>
              </w:rPr>
            </w:pPr>
          </w:p>
        </w:tc>
        <w:tc>
          <w:tcPr>
            <w:tcW w:w="1843" w:type="dxa"/>
            <w:vMerge w:val="continue"/>
            <w:vAlign w:val="center"/>
          </w:tcPr>
          <w:p>
            <w:pPr>
              <w:spacing w:line="400" w:lineRule="exact"/>
              <w:jc w:val="center"/>
              <w:rPr>
                <w:rFonts w:ascii="Times New Roman" w:hAnsi="Times New Roman"/>
                <w:color w:val="000000" w:themeColor="text1"/>
                <w:sz w:val="22"/>
                <w14:textFill>
                  <w14:solidFill>
                    <w14:schemeClr w14:val="tx1"/>
                  </w14:solidFill>
                </w14:textFill>
              </w:rPr>
            </w:pPr>
          </w:p>
        </w:tc>
        <w:tc>
          <w:tcPr>
            <w:tcW w:w="709" w:type="dxa"/>
            <w:vAlign w:val="center"/>
          </w:tcPr>
          <w:p>
            <w:pPr>
              <w:spacing w:line="400" w:lineRule="exact"/>
              <w:jc w:val="center"/>
              <w:rPr>
                <w:rFonts w:ascii="Times New Roman" w:hAnsi="Times New Roman"/>
                <w:b/>
                <w:bCs/>
                <w:color w:val="000000" w:themeColor="text1"/>
                <w:sz w:val="22"/>
                <w14:textFill>
                  <w14:solidFill>
                    <w14:schemeClr w14:val="tx1"/>
                  </w14:solidFill>
                </w14:textFill>
              </w:rPr>
            </w:pPr>
            <w:r>
              <w:rPr>
                <w:rFonts w:ascii="Times New Roman" w:hAnsi="Times New Roman"/>
                <w:b/>
                <w:bCs/>
                <w:color w:val="000000" w:themeColor="text1"/>
                <w:sz w:val="22"/>
                <w14:textFill>
                  <w14:solidFill>
                    <w14:schemeClr w14:val="tx1"/>
                  </w14:solidFill>
                </w14:textFill>
              </w:rPr>
              <w:t>50</w:t>
            </w:r>
          </w:p>
        </w:tc>
        <w:tc>
          <w:tcPr>
            <w:tcW w:w="2877" w:type="dxa"/>
            <w:vAlign w:val="center"/>
          </w:tcPr>
          <w:p>
            <w:pPr>
              <w:spacing w:line="400" w:lineRule="exact"/>
              <w:jc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sz w:val="22"/>
                <w14:textFill>
                  <w14:solidFill>
                    <w14:schemeClr w14:val="tx1"/>
                  </w14:solidFill>
                </w14:textFill>
              </w:rPr>
              <w:t>中山火炬职业技术学院</w:t>
            </w:r>
          </w:p>
          <w:p>
            <w:pPr>
              <w:spacing w:line="400" w:lineRule="exact"/>
              <w:jc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sz w:val="22"/>
                <w14:textFill>
                  <w14:solidFill>
                    <w14:schemeClr w14:val="tx1"/>
                  </w14:solidFill>
                </w14:textFill>
              </w:rPr>
              <w:t>（校本部）</w:t>
            </w:r>
          </w:p>
        </w:tc>
        <w:tc>
          <w:tcPr>
            <w:tcW w:w="2250" w:type="dxa"/>
            <w:vAlign w:val="center"/>
          </w:tcPr>
          <w:p>
            <w:pPr>
              <w:spacing w:line="400" w:lineRule="exact"/>
              <w:jc w:val="center"/>
              <w:rPr>
                <w:rFonts w:hint="default" w:ascii="Times New Roman" w:hAnsi="Times New Roman"/>
                <w:color w:val="000000" w:themeColor="text1"/>
                <w:sz w:val="22"/>
                <w:lang w:val="en-US"/>
                <w14:textFill>
                  <w14:solidFill>
                    <w14:schemeClr w14:val="tx1"/>
                  </w14:solidFill>
                </w14:textFill>
              </w:rPr>
            </w:pPr>
            <w:r>
              <w:rPr>
                <w:rFonts w:ascii="Times New Roman" w:hAnsi="Times New Roman"/>
                <w:color w:val="000000" w:themeColor="text1"/>
                <w:sz w:val="22"/>
                <w14:textFill>
                  <w14:solidFill>
                    <w14:schemeClr w14:val="tx1"/>
                  </w14:solidFill>
                </w14:textFill>
              </w:rPr>
              <w:t>住宿费：500-1300元</w:t>
            </w:r>
            <w:r>
              <w:rPr>
                <w:rFonts w:hint="eastAsia" w:ascii="Times New Roman" w:hAnsi="Times New Roman"/>
                <w:color w:val="000000" w:themeColor="text1"/>
                <w:sz w:val="22"/>
                <w:lang w:eastAsia="zh-CN"/>
                <w14:textFill>
                  <w14:solidFill>
                    <w14:schemeClr w14:val="tx1"/>
                  </w14:solidFill>
                </w14:textFill>
              </w:rPr>
              <w:t>电话</w:t>
            </w:r>
            <w:r>
              <w:rPr>
                <w:rFonts w:hint="eastAsia" w:ascii="Times New Roman" w:hAnsi="Times New Roman"/>
                <w:color w:val="000000" w:themeColor="text1"/>
                <w:sz w:val="22"/>
                <w:lang w:val="en-US" w:eastAsia="zh-CN"/>
                <w14:textFill>
                  <w14:solidFill>
                    <w14:schemeClr w14:val="tx1"/>
                  </w14:solidFill>
                </w14:textFill>
              </w:rPr>
              <w:t>0760－88291862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560" w:type="dxa"/>
            <w:vAlign w:val="center"/>
          </w:tcPr>
          <w:p>
            <w:pPr>
              <w:spacing w:line="400" w:lineRule="exact"/>
              <w:jc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sz w:val="22"/>
                <w14:textFill>
                  <w14:solidFill>
                    <w14:schemeClr w14:val="tx1"/>
                  </w14:solidFill>
                </w14:textFill>
              </w:rPr>
              <w:t>旅游与历史文化学院</w:t>
            </w:r>
          </w:p>
        </w:tc>
        <w:tc>
          <w:tcPr>
            <w:tcW w:w="1843" w:type="dxa"/>
            <w:vAlign w:val="center"/>
          </w:tcPr>
          <w:p>
            <w:pPr>
              <w:spacing w:line="400" w:lineRule="exact"/>
              <w:jc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sz w:val="22"/>
                <w14:textFill>
                  <w14:solidFill>
                    <w14:schemeClr w14:val="tx1"/>
                  </w14:solidFill>
                </w14:textFill>
              </w:rPr>
              <w:t>旅游管理</w:t>
            </w:r>
          </w:p>
        </w:tc>
        <w:tc>
          <w:tcPr>
            <w:tcW w:w="709" w:type="dxa"/>
            <w:vAlign w:val="center"/>
          </w:tcPr>
          <w:p>
            <w:pPr>
              <w:spacing w:line="400" w:lineRule="exact"/>
              <w:jc w:val="center"/>
              <w:rPr>
                <w:rFonts w:ascii="Times New Roman" w:hAnsi="Times New Roman"/>
                <w:b/>
                <w:bCs/>
                <w:color w:val="000000" w:themeColor="text1"/>
                <w:sz w:val="22"/>
                <w14:textFill>
                  <w14:solidFill>
                    <w14:schemeClr w14:val="tx1"/>
                  </w14:solidFill>
                </w14:textFill>
              </w:rPr>
            </w:pPr>
            <w:r>
              <w:rPr>
                <w:rFonts w:ascii="Times New Roman" w:hAnsi="Times New Roman"/>
                <w:b/>
                <w:bCs/>
                <w:color w:val="000000" w:themeColor="text1"/>
                <w:sz w:val="22"/>
                <w14:textFill>
                  <w14:solidFill>
                    <w14:schemeClr w14:val="tx1"/>
                  </w14:solidFill>
                </w14:textFill>
              </w:rPr>
              <w:t>50</w:t>
            </w:r>
          </w:p>
        </w:tc>
        <w:tc>
          <w:tcPr>
            <w:tcW w:w="2877" w:type="dxa"/>
            <w:vAlign w:val="center"/>
          </w:tcPr>
          <w:p>
            <w:pPr>
              <w:spacing w:line="400" w:lineRule="exact"/>
              <w:jc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sz w:val="22"/>
                <w14:textFill>
                  <w14:solidFill>
                    <w14:schemeClr w14:val="tx1"/>
                  </w14:solidFill>
                </w14:textFill>
              </w:rPr>
              <w:t>广东科学技术职业学院</w:t>
            </w:r>
          </w:p>
          <w:p>
            <w:pPr>
              <w:spacing w:line="400" w:lineRule="exact"/>
              <w:jc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sz w:val="22"/>
                <w14:textFill>
                  <w14:solidFill>
                    <w14:schemeClr w14:val="tx1"/>
                  </w14:solidFill>
                </w14:textFill>
              </w:rPr>
              <w:t>（珠海校区）</w:t>
            </w:r>
          </w:p>
        </w:tc>
        <w:tc>
          <w:tcPr>
            <w:tcW w:w="2250" w:type="dxa"/>
            <w:vAlign w:val="center"/>
          </w:tcPr>
          <w:p>
            <w:pPr>
              <w:spacing w:line="400" w:lineRule="exact"/>
              <w:jc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sz w:val="22"/>
                <w14:textFill>
                  <w14:solidFill>
                    <w14:schemeClr w14:val="tx1"/>
                  </w14:solidFill>
                </w14:textFill>
              </w:rPr>
              <w:t>住宿费：1700-1800元</w:t>
            </w:r>
            <w:r>
              <w:rPr>
                <w:rFonts w:hint="eastAsia" w:ascii="Times New Roman" w:hAnsi="Times New Roman"/>
                <w:color w:val="000000" w:themeColor="text1"/>
                <w:sz w:val="22"/>
                <w:lang w:eastAsia="zh-CN"/>
                <w14:textFill>
                  <w14:solidFill>
                    <w14:schemeClr w14:val="tx1"/>
                  </w14:solidFill>
                </w14:textFill>
              </w:rPr>
              <w:t>电话</w:t>
            </w:r>
            <w:r>
              <w:rPr>
                <w:rFonts w:hint="eastAsia" w:ascii="Times New Roman" w:hAnsi="Times New Roman"/>
                <w:color w:val="000000" w:themeColor="text1"/>
                <w:sz w:val="22"/>
                <w:lang w:val="en-US" w:eastAsia="zh-CN"/>
                <w14:textFill>
                  <w14:solidFill>
                    <w14:schemeClr w14:val="tx1"/>
                  </w14:solidFill>
                </w14:textFill>
              </w:rPr>
              <w:t>0756－7796211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560" w:type="dxa"/>
            <w:vAlign w:val="center"/>
          </w:tcPr>
          <w:p>
            <w:pPr>
              <w:spacing w:line="400" w:lineRule="exact"/>
              <w:jc w:val="center"/>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sz w:val="22"/>
                <w14:textFill>
                  <w14:solidFill>
                    <w14:schemeClr w14:val="tx1"/>
                  </w14:solidFill>
                </w14:textFill>
              </w:rPr>
              <w:t>合计</w:t>
            </w:r>
          </w:p>
        </w:tc>
        <w:tc>
          <w:tcPr>
            <w:tcW w:w="1843" w:type="dxa"/>
            <w:vAlign w:val="center"/>
          </w:tcPr>
          <w:p>
            <w:pPr>
              <w:spacing w:line="400" w:lineRule="exact"/>
              <w:jc w:val="center"/>
              <w:rPr>
                <w:rFonts w:hint="eastAsia" w:ascii="Times New Roman" w:hAnsi="Times New Roman" w:eastAsia="宋体"/>
                <w:color w:val="000000" w:themeColor="text1"/>
                <w:sz w:val="22"/>
                <w:lang w:val="en-US" w:eastAsia="zh-CN"/>
                <w14:textFill>
                  <w14:solidFill>
                    <w14:schemeClr w14:val="tx1"/>
                  </w14:solidFill>
                </w14:textFill>
              </w:rPr>
            </w:pPr>
            <w:r>
              <w:rPr>
                <w:rFonts w:hint="eastAsia" w:ascii="Times New Roman" w:hAnsi="Times New Roman"/>
                <w:color w:val="000000" w:themeColor="text1"/>
                <w:sz w:val="22"/>
                <w:lang w:val="en-US" w:eastAsia="zh-CN"/>
                <w14:textFill>
                  <w14:solidFill>
                    <w14:schemeClr w14:val="tx1"/>
                  </w14:solidFill>
                </w14:textFill>
              </w:rPr>
              <w:t>5个专业</w:t>
            </w:r>
          </w:p>
        </w:tc>
        <w:tc>
          <w:tcPr>
            <w:tcW w:w="709" w:type="dxa"/>
            <w:vAlign w:val="center"/>
          </w:tcPr>
          <w:p>
            <w:pPr>
              <w:spacing w:line="400" w:lineRule="exact"/>
              <w:jc w:val="center"/>
              <w:rPr>
                <w:rFonts w:ascii="Times New Roman" w:hAnsi="Times New Roman"/>
                <w:b/>
                <w:bCs/>
                <w:color w:val="000000" w:themeColor="text1"/>
                <w:sz w:val="22"/>
                <w14:textFill>
                  <w14:solidFill>
                    <w14:schemeClr w14:val="tx1"/>
                  </w14:solidFill>
                </w14:textFill>
              </w:rPr>
            </w:pPr>
            <w:r>
              <w:rPr>
                <w:rFonts w:ascii="Times New Roman" w:hAnsi="Times New Roman"/>
                <w:b/>
                <w:bCs/>
                <w:color w:val="000000" w:themeColor="text1"/>
                <w:sz w:val="22"/>
                <w14:textFill>
                  <w14:solidFill>
                    <w14:schemeClr w14:val="tx1"/>
                  </w14:solidFill>
                </w14:textFill>
              </w:rPr>
              <w:t>300</w:t>
            </w:r>
          </w:p>
        </w:tc>
        <w:tc>
          <w:tcPr>
            <w:tcW w:w="2877" w:type="dxa"/>
            <w:vAlign w:val="center"/>
          </w:tcPr>
          <w:p>
            <w:pPr>
              <w:spacing w:line="400" w:lineRule="exact"/>
              <w:jc w:val="center"/>
              <w:rPr>
                <w:rFonts w:ascii="Times New Roman" w:hAnsi="Times New Roman"/>
                <w:color w:val="000000" w:themeColor="text1"/>
                <w:sz w:val="22"/>
                <w14:textFill>
                  <w14:solidFill>
                    <w14:schemeClr w14:val="tx1"/>
                  </w14:solidFill>
                </w14:textFill>
              </w:rPr>
            </w:pPr>
          </w:p>
        </w:tc>
        <w:tc>
          <w:tcPr>
            <w:tcW w:w="2250" w:type="dxa"/>
            <w:vAlign w:val="center"/>
          </w:tcPr>
          <w:p>
            <w:pPr>
              <w:spacing w:line="400" w:lineRule="exact"/>
              <w:jc w:val="center"/>
              <w:rPr>
                <w:rFonts w:hint="eastAsia" w:ascii="Times New Roman" w:hAnsi="Times New Roman" w:eastAsia="宋体"/>
                <w:color w:val="000000" w:themeColor="text1"/>
                <w:sz w:val="22"/>
                <w:lang w:eastAsia="zh-CN"/>
                <w14:textFill>
                  <w14:solidFill>
                    <w14:schemeClr w14:val="tx1"/>
                  </w14:solidFill>
                </w14:textFill>
              </w:rPr>
            </w:pPr>
            <w:r>
              <w:rPr>
                <w:rFonts w:hint="eastAsia" w:ascii="Times New Roman" w:hAnsi="Times New Roman"/>
                <w:color w:val="000000" w:themeColor="text1"/>
                <w:sz w:val="22"/>
                <w:lang w:eastAsia="zh-CN"/>
                <w14:textFill>
                  <w14:solidFill>
                    <w14:schemeClr w14:val="tx1"/>
                  </w14:solidFill>
                </w14:textFill>
              </w:rPr>
              <w:t>与高职院校协同育人</w:t>
            </w:r>
          </w:p>
        </w:tc>
      </w:tr>
    </w:tbl>
    <w:p>
      <w:pPr>
        <w:spacing w:line="520" w:lineRule="exact"/>
        <w:ind w:firstLine="640" w:firstLineChars="200"/>
        <w:rPr>
          <w:rFonts w:ascii="仿宋_GB2312" w:hAnsi="宋体" w:eastAsia="仿宋_GB2312" w:cs="宋体"/>
          <w:color w:val="FF0000"/>
          <w:sz w:val="32"/>
          <w:szCs w:val="32"/>
        </w:rPr>
      </w:pPr>
      <w:r>
        <w:rPr>
          <w:rFonts w:hint="eastAsia" w:ascii="仿宋_GB2312" w:hAnsi="宋体" w:eastAsia="仿宋_GB2312" w:cs="宋体"/>
          <w:color w:val="000000" w:themeColor="text1"/>
          <w:sz w:val="32"/>
          <w:szCs w:val="32"/>
          <w14:textFill>
            <w14:solidFill>
              <w14:schemeClr w14:val="tx1"/>
            </w14:solidFill>
          </w14:textFill>
        </w:rPr>
        <w:t>说明：有关插班生</w:t>
      </w:r>
      <w:bookmarkStart w:id="2" w:name="_GoBack"/>
      <w:bookmarkEnd w:id="2"/>
      <w:r>
        <w:rPr>
          <w:rFonts w:hint="eastAsia" w:ascii="仿宋_GB2312" w:hAnsi="宋体" w:eastAsia="仿宋_GB2312" w:cs="宋体"/>
          <w:color w:val="000000" w:themeColor="text1"/>
          <w:sz w:val="32"/>
          <w:szCs w:val="32"/>
          <w:lang w:eastAsia="zh-CN"/>
          <w14:textFill>
            <w14:solidFill>
              <w14:schemeClr w14:val="tx1"/>
            </w14:solidFill>
          </w14:textFill>
        </w:rPr>
        <w:t>协同育人</w:t>
      </w:r>
      <w:r>
        <w:rPr>
          <w:rFonts w:hint="eastAsia" w:ascii="仿宋_GB2312" w:hAnsi="宋体" w:eastAsia="仿宋_GB2312" w:cs="宋体"/>
          <w:color w:val="000000" w:themeColor="text1"/>
          <w:sz w:val="32"/>
          <w:szCs w:val="32"/>
          <w14:textFill>
            <w14:solidFill>
              <w14:schemeClr w14:val="tx1"/>
            </w14:solidFill>
          </w14:textFill>
        </w:rPr>
        <w:t>的招生计划、办学地点和录取规则等信息请以广东省教育考试院公布为准。</w:t>
      </w:r>
    </w:p>
    <w:p>
      <w:pPr>
        <w:rPr>
          <w:rFonts w:ascii="楷体_GB2312" w:hAnsi="宋体" w:eastAsia="楷体_GB2312" w:cs="宋体"/>
          <w:sz w:val="32"/>
          <w:szCs w:val="32"/>
        </w:rPr>
      </w:pPr>
      <w:r>
        <w:rPr>
          <w:rFonts w:hint="eastAsia" w:ascii="楷体_GB2312" w:hAnsi="宋体" w:eastAsia="楷体_GB2312" w:cs="宋体"/>
          <w:sz w:val="32"/>
          <w:szCs w:val="32"/>
        </w:rPr>
        <w:t>（三）请问招生专业的考试科目和参考书有哪些？</w:t>
      </w:r>
    </w:p>
    <w:tbl>
      <w:tblPr>
        <w:tblStyle w:val="6"/>
        <w:tblpPr w:leftFromText="180" w:rightFromText="180" w:vertAnchor="text" w:horzAnchor="margin" w:tblpXSpec="center" w:tblpY="2"/>
        <w:tblW w:w="9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12"/>
        <w:gridCol w:w="1000"/>
        <w:gridCol w:w="1540"/>
        <w:gridCol w:w="6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6" w:hRule="atLeast"/>
          <w:jc w:val="center"/>
        </w:trPr>
        <w:tc>
          <w:tcPr>
            <w:tcW w:w="1312" w:type="dxa"/>
            <w:vAlign w:val="center"/>
          </w:tcPr>
          <w:p>
            <w:pPr>
              <w:spacing w:line="240" w:lineRule="exact"/>
              <w:jc w:val="center"/>
              <w:rPr>
                <w:rFonts w:ascii="??_GB2312" w:hAnsi="宋体" w:eastAsia="Times New Roman"/>
                <w:b/>
                <w:sz w:val="18"/>
                <w:szCs w:val="18"/>
              </w:rPr>
            </w:pPr>
            <w:r>
              <w:rPr>
                <w:rFonts w:ascii="??_GB2312" w:hAnsi="宋体" w:eastAsia="Times New Roman"/>
                <w:b/>
                <w:sz w:val="18"/>
                <w:szCs w:val="18"/>
              </w:rPr>
              <w:t>专业名称</w:t>
            </w:r>
          </w:p>
        </w:tc>
        <w:tc>
          <w:tcPr>
            <w:tcW w:w="1000" w:type="dxa"/>
            <w:vAlign w:val="center"/>
          </w:tcPr>
          <w:p>
            <w:pPr>
              <w:spacing w:line="240" w:lineRule="exact"/>
              <w:jc w:val="center"/>
              <w:rPr>
                <w:rFonts w:ascii="??_GB2312" w:hAnsi="宋体" w:eastAsia="Times New Roman"/>
                <w:b/>
                <w:sz w:val="18"/>
                <w:szCs w:val="18"/>
              </w:rPr>
            </w:pPr>
            <w:r>
              <w:rPr>
                <w:rFonts w:ascii="??_GB2312" w:hAnsi="宋体" w:eastAsia="Times New Roman"/>
                <w:b/>
                <w:sz w:val="18"/>
                <w:szCs w:val="18"/>
              </w:rPr>
              <w:t>省统考科目</w:t>
            </w:r>
          </w:p>
        </w:tc>
        <w:tc>
          <w:tcPr>
            <w:tcW w:w="1540" w:type="dxa"/>
            <w:vAlign w:val="center"/>
          </w:tcPr>
          <w:p>
            <w:pPr>
              <w:spacing w:line="240" w:lineRule="exact"/>
              <w:jc w:val="center"/>
              <w:rPr>
                <w:rFonts w:ascii="??_GB2312" w:hAnsi="宋体" w:eastAsia="Times New Roman"/>
                <w:b/>
                <w:sz w:val="18"/>
                <w:szCs w:val="18"/>
              </w:rPr>
            </w:pPr>
            <w:r>
              <w:rPr>
                <w:rFonts w:ascii="??_GB2312" w:hAnsi="宋体" w:eastAsia="Times New Roman"/>
                <w:b/>
                <w:sz w:val="18"/>
                <w:szCs w:val="18"/>
              </w:rPr>
              <w:t>校考专业课</w:t>
            </w:r>
          </w:p>
        </w:tc>
        <w:tc>
          <w:tcPr>
            <w:tcW w:w="6093" w:type="dxa"/>
            <w:vAlign w:val="center"/>
          </w:tcPr>
          <w:p>
            <w:pPr>
              <w:spacing w:line="240" w:lineRule="exact"/>
              <w:jc w:val="center"/>
              <w:rPr>
                <w:rFonts w:ascii="??_GB2312" w:hAnsi="宋体" w:eastAsia="Times New Roman"/>
                <w:b/>
                <w:sz w:val="18"/>
                <w:szCs w:val="18"/>
              </w:rPr>
            </w:pPr>
            <w:r>
              <w:rPr>
                <w:rFonts w:ascii="??_GB2312" w:hAnsi="宋体" w:eastAsia="Times New Roman"/>
                <w:b/>
                <w:sz w:val="18"/>
                <w:szCs w:val="18"/>
              </w:rPr>
              <w:t>专业课指定参考书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12" w:type="dxa"/>
            <w:vAlign w:val="center"/>
          </w:tcPr>
          <w:p>
            <w:pPr>
              <w:spacing w:line="240" w:lineRule="exact"/>
              <w:jc w:val="center"/>
              <w:rPr>
                <w:rFonts w:ascii="??_GB2312" w:hAnsi="宋体" w:eastAsia="Times New Roman"/>
                <w:kern w:val="0"/>
                <w:sz w:val="18"/>
                <w:szCs w:val="18"/>
              </w:rPr>
            </w:pPr>
            <w:r>
              <w:rPr>
                <w:rFonts w:ascii="??_GB2312" w:hAnsi="宋体" w:eastAsia="Times New Roman"/>
                <w:kern w:val="0"/>
                <w:sz w:val="18"/>
                <w:szCs w:val="18"/>
              </w:rPr>
              <w:t>汉语言文学</w:t>
            </w:r>
          </w:p>
          <w:p>
            <w:pPr>
              <w:spacing w:line="240" w:lineRule="exact"/>
              <w:jc w:val="center"/>
              <w:rPr>
                <w:rFonts w:ascii="??_GB2312" w:hAnsi="宋体" w:eastAsia="Times New Roman"/>
                <w:sz w:val="18"/>
                <w:szCs w:val="18"/>
              </w:rPr>
            </w:pPr>
            <w:r>
              <w:rPr>
                <w:rFonts w:ascii="??_GB2312" w:hAnsi="宋体" w:eastAsia="Times New Roman"/>
                <w:kern w:val="0"/>
                <w:sz w:val="18"/>
                <w:szCs w:val="18"/>
              </w:rPr>
              <w:t>(师范)</w:t>
            </w:r>
          </w:p>
        </w:tc>
        <w:tc>
          <w:tcPr>
            <w:tcW w:w="1000" w:type="dxa"/>
            <w:vAlign w:val="center"/>
          </w:tcPr>
          <w:p>
            <w:pPr>
              <w:spacing w:line="240" w:lineRule="exact"/>
              <w:rPr>
                <w:rFonts w:ascii="??_GB2312" w:hAnsi="宋体" w:eastAsia="Times New Roman"/>
                <w:sz w:val="18"/>
                <w:szCs w:val="18"/>
              </w:rPr>
            </w:pPr>
            <w:r>
              <w:rPr>
                <w:rFonts w:ascii="??_GB2312" w:hAnsi="宋体" w:eastAsia="Times New Roman"/>
                <w:sz w:val="18"/>
                <w:szCs w:val="18"/>
              </w:rPr>
              <w:t>1．政治理论</w:t>
            </w:r>
          </w:p>
          <w:p>
            <w:pPr>
              <w:spacing w:line="240" w:lineRule="exact"/>
              <w:rPr>
                <w:rFonts w:ascii="??_GB2312" w:hAnsi="宋体" w:eastAsia="Times New Roman"/>
                <w:sz w:val="18"/>
                <w:szCs w:val="18"/>
              </w:rPr>
            </w:pPr>
            <w:r>
              <w:rPr>
                <w:rFonts w:ascii="??_GB2312" w:hAnsi="宋体" w:eastAsia="Times New Roman"/>
                <w:sz w:val="18"/>
                <w:szCs w:val="18"/>
              </w:rPr>
              <w:t>2．英语</w:t>
            </w:r>
          </w:p>
          <w:p>
            <w:pPr>
              <w:spacing w:line="240" w:lineRule="exact"/>
              <w:rPr>
                <w:rFonts w:ascii="??_GB2312" w:hAnsi="宋体" w:eastAsia="Times New Roman"/>
                <w:sz w:val="18"/>
                <w:szCs w:val="18"/>
              </w:rPr>
            </w:pPr>
            <w:r>
              <w:rPr>
                <w:rFonts w:ascii="??_GB2312" w:hAnsi="宋体" w:eastAsia="Times New Roman"/>
                <w:sz w:val="18"/>
                <w:szCs w:val="18"/>
              </w:rPr>
              <w:t>3．大学语文</w:t>
            </w:r>
          </w:p>
        </w:tc>
        <w:tc>
          <w:tcPr>
            <w:tcW w:w="1540" w:type="dxa"/>
            <w:vAlign w:val="center"/>
          </w:tcPr>
          <w:p>
            <w:pPr>
              <w:spacing w:line="240" w:lineRule="exact"/>
              <w:rPr>
                <w:rFonts w:ascii="??_GB2312" w:hAnsi="宋体"/>
                <w:sz w:val="18"/>
                <w:szCs w:val="18"/>
              </w:rPr>
            </w:pPr>
            <w:r>
              <w:rPr>
                <w:rFonts w:ascii="??_GB2312" w:hAnsi="宋体" w:eastAsia="Times New Roman"/>
                <w:sz w:val="18"/>
                <w:szCs w:val="18"/>
              </w:rPr>
              <w:t>1．中国文学史</w:t>
            </w:r>
          </w:p>
          <w:p>
            <w:pPr>
              <w:spacing w:line="240" w:lineRule="exact"/>
              <w:jc w:val="left"/>
              <w:rPr>
                <w:rFonts w:ascii="??_GB2312" w:hAnsi="宋体" w:eastAsia="Times New Roman"/>
                <w:sz w:val="18"/>
                <w:szCs w:val="18"/>
              </w:rPr>
            </w:pPr>
            <w:r>
              <w:rPr>
                <w:rFonts w:ascii="??_GB2312" w:hAnsi="宋体" w:eastAsia="Times New Roman"/>
                <w:sz w:val="18"/>
                <w:szCs w:val="18"/>
              </w:rPr>
              <w:t>2．现代汉语与写作</w:t>
            </w:r>
          </w:p>
        </w:tc>
        <w:tc>
          <w:tcPr>
            <w:tcW w:w="6093" w:type="dxa"/>
            <w:vAlign w:val="center"/>
          </w:tcPr>
          <w:p>
            <w:pPr>
              <w:spacing w:line="240" w:lineRule="exact"/>
              <w:ind w:left="270" w:hanging="270" w:hangingChars="150"/>
              <w:jc w:val="left"/>
              <w:rPr>
                <w:rFonts w:ascii="??_GB2312" w:hAnsi="宋体"/>
                <w:bCs/>
                <w:sz w:val="18"/>
                <w:szCs w:val="18"/>
              </w:rPr>
            </w:pPr>
            <w:r>
              <w:rPr>
                <w:rFonts w:ascii="??_GB2312" w:hAnsi="宋体" w:eastAsia="Times New Roman"/>
                <w:bCs/>
                <w:sz w:val="18"/>
                <w:szCs w:val="18"/>
              </w:rPr>
              <w:t>1．</w:t>
            </w:r>
            <w:r>
              <w:rPr>
                <w:rFonts w:hint="eastAsia" w:ascii="??_GB2312" w:hAnsi="宋体" w:eastAsia="Times New Roman"/>
                <w:bCs/>
                <w:sz w:val="18"/>
                <w:szCs w:val="18"/>
              </w:rPr>
              <w:t>《中国文学史》（第三版）（第1-2卷），袁行霈主编，高等教育出版社，2014年版</w:t>
            </w:r>
            <w:r>
              <w:rPr>
                <w:rFonts w:hint="eastAsia" w:ascii="??_GB2312" w:hAnsi="宋体"/>
                <w:bCs/>
                <w:sz w:val="18"/>
                <w:szCs w:val="18"/>
              </w:rPr>
              <w:t>；</w:t>
            </w:r>
          </w:p>
          <w:p>
            <w:pPr>
              <w:spacing w:line="240" w:lineRule="exact"/>
              <w:ind w:left="270" w:hanging="270" w:hangingChars="150"/>
              <w:jc w:val="left"/>
              <w:rPr>
                <w:rFonts w:ascii="??_GB2312" w:hAnsi="宋体" w:eastAsia="Times New Roman"/>
                <w:bCs/>
                <w:sz w:val="18"/>
                <w:szCs w:val="18"/>
              </w:rPr>
            </w:pPr>
            <w:r>
              <w:rPr>
                <w:rFonts w:ascii="??_GB2312" w:hAnsi="宋体" w:eastAsia="Times New Roman"/>
                <w:bCs/>
                <w:sz w:val="18"/>
                <w:szCs w:val="18"/>
              </w:rPr>
              <w:t>2．《中国历代文学作品选》（上编第1、2册，中编第1册），朱东润，上海古籍出版社，2002年；</w:t>
            </w:r>
          </w:p>
          <w:p>
            <w:pPr>
              <w:spacing w:line="240" w:lineRule="exact"/>
              <w:ind w:left="270" w:hanging="270" w:hangingChars="150"/>
              <w:jc w:val="left"/>
              <w:rPr>
                <w:rFonts w:ascii="??_GB2312" w:hAnsi="Gungsuh" w:eastAsia="Times New Roman"/>
                <w:sz w:val="18"/>
                <w:szCs w:val="18"/>
              </w:rPr>
            </w:pPr>
            <w:r>
              <w:rPr>
                <w:rFonts w:ascii="??_GB2312" w:hAnsi="宋体" w:eastAsia="Times New Roman"/>
                <w:bCs/>
                <w:sz w:val="18"/>
                <w:szCs w:val="18"/>
              </w:rPr>
              <w:t>3．《现代汉语》（增订五版，上下册），黄伯荣、廖序东，高等教育出版社，2011年6月。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59" w:hRule="exact"/>
          <w:jc w:val="center"/>
        </w:trPr>
        <w:tc>
          <w:tcPr>
            <w:tcW w:w="1312" w:type="dxa"/>
            <w:vAlign w:val="center"/>
          </w:tcPr>
          <w:p>
            <w:pPr>
              <w:spacing w:line="240" w:lineRule="exact"/>
              <w:jc w:val="center"/>
              <w:rPr>
                <w:rFonts w:ascii="??_GB2312" w:hAnsi="宋体" w:eastAsia="Times New Roman"/>
                <w:kern w:val="0"/>
                <w:sz w:val="18"/>
                <w:szCs w:val="18"/>
              </w:rPr>
            </w:pPr>
            <w:r>
              <w:rPr>
                <w:rFonts w:ascii="??_GB2312" w:hAnsi="宋体" w:eastAsia="Times New Roman"/>
                <w:kern w:val="0"/>
                <w:sz w:val="18"/>
                <w:szCs w:val="18"/>
              </w:rPr>
              <w:t>英语(师范)</w:t>
            </w:r>
          </w:p>
        </w:tc>
        <w:tc>
          <w:tcPr>
            <w:tcW w:w="1000" w:type="dxa"/>
            <w:vAlign w:val="center"/>
          </w:tcPr>
          <w:p>
            <w:pPr>
              <w:spacing w:line="240" w:lineRule="exact"/>
              <w:rPr>
                <w:rFonts w:ascii="??_GB2312" w:hAnsi="宋体" w:eastAsia="Times New Roman"/>
                <w:sz w:val="18"/>
                <w:szCs w:val="18"/>
              </w:rPr>
            </w:pPr>
            <w:r>
              <w:rPr>
                <w:rFonts w:ascii="??_GB2312" w:hAnsi="宋体" w:eastAsia="Times New Roman"/>
                <w:sz w:val="18"/>
                <w:szCs w:val="18"/>
              </w:rPr>
              <w:t>1．政治理论</w:t>
            </w:r>
          </w:p>
          <w:p>
            <w:pPr>
              <w:spacing w:line="240" w:lineRule="exact"/>
              <w:rPr>
                <w:rFonts w:ascii="??_GB2312" w:hAnsi="宋体" w:eastAsia="Times New Roman"/>
                <w:sz w:val="18"/>
                <w:szCs w:val="18"/>
              </w:rPr>
            </w:pPr>
            <w:r>
              <w:rPr>
                <w:rFonts w:ascii="??_GB2312" w:hAnsi="宋体" w:eastAsia="Times New Roman"/>
                <w:sz w:val="18"/>
                <w:szCs w:val="18"/>
              </w:rPr>
              <w:t>2．大学语文</w:t>
            </w:r>
          </w:p>
        </w:tc>
        <w:tc>
          <w:tcPr>
            <w:tcW w:w="1540" w:type="dxa"/>
            <w:vAlign w:val="center"/>
          </w:tcPr>
          <w:p>
            <w:pPr>
              <w:spacing w:line="240" w:lineRule="exact"/>
              <w:rPr>
                <w:rFonts w:ascii="??_GB2312" w:hAnsi="宋体" w:eastAsia="Times New Roman"/>
                <w:sz w:val="18"/>
                <w:szCs w:val="18"/>
              </w:rPr>
            </w:pPr>
            <w:r>
              <w:rPr>
                <w:rFonts w:ascii="??_GB2312" w:hAnsi="宋体" w:eastAsia="Times New Roman"/>
                <w:sz w:val="18"/>
                <w:szCs w:val="18"/>
              </w:rPr>
              <w:t>1．综合英语</w:t>
            </w:r>
          </w:p>
          <w:p>
            <w:pPr>
              <w:spacing w:line="240" w:lineRule="exact"/>
              <w:rPr>
                <w:rFonts w:ascii="??_GB2312" w:hAnsi="宋体" w:eastAsia="Times New Roman"/>
                <w:sz w:val="18"/>
                <w:szCs w:val="18"/>
              </w:rPr>
            </w:pPr>
            <w:r>
              <w:rPr>
                <w:rFonts w:ascii="??_GB2312" w:hAnsi="宋体" w:eastAsia="Times New Roman"/>
                <w:sz w:val="18"/>
                <w:szCs w:val="18"/>
              </w:rPr>
              <w:t>2．英语语法</w:t>
            </w:r>
          </w:p>
          <w:p>
            <w:pPr>
              <w:spacing w:line="240" w:lineRule="exact"/>
              <w:rPr>
                <w:rFonts w:ascii="??_GB2312" w:hAnsi="宋体" w:eastAsia="Times New Roman"/>
                <w:sz w:val="18"/>
                <w:szCs w:val="18"/>
              </w:rPr>
            </w:pPr>
            <w:r>
              <w:rPr>
                <w:rFonts w:ascii="??_GB2312" w:hAnsi="宋体" w:eastAsia="Times New Roman"/>
                <w:sz w:val="18"/>
                <w:szCs w:val="18"/>
              </w:rPr>
              <w:t>3．翻译</w:t>
            </w:r>
          </w:p>
        </w:tc>
        <w:tc>
          <w:tcPr>
            <w:tcW w:w="6093" w:type="dxa"/>
            <w:vAlign w:val="center"/>
          </w:tcPr>
          <w:p>
            <w:pPr>
              <w:spacing w:line="240" w:lineRule="exact"/>
              <w:ind w:left="270" w:hanging="270" w:hangingChars="150"/>
              <w:jc w:val="left"/>
              <w:rPr>
                <w:rFonts w:ascii="??_GB2312" w:hAnsi="宋体" w:eastAsia="Times New Roman"/>
                <w:bCs/>
                <w:sz w:val="18"/>
                <w:szCs w:val="18"/>
              </w:rPr>
            </w:pPr>
            <w:r>
              <w:rPr>
                <w:rFonts w:ascii="??_GB2312" w:hAnsi="宋体" w:eastAsia="Times New Roman"/>
                <w:bCs/>
                <w:sz w:val="18"/>
                <w:szCs w:val="18"/>
              </w:rPr>
              <w:t>1．</w:t>
            </w:r>
            <w:r>
              <w:rPr>
                <w:rFonts w:hint="eastAsia" w:ascii="??_GB2312" w:hAnsi="宋体" w:eastAsia="Times New Roman"/>
                <w:bCs/>
                <w:sz w:val="18"/>
                <w:szCs w:val="18"/>
              </w:rPr>
              <w:t>《新编英语教程》（第三版）1-4册，上海外国语大学的李观仪、梅德明等主编，上海外语教育出版社，</w:t>
            </w:r>
            <w:r>
              <w:rPr>
                <w:rFonts w:ascii="??_GB2312" w:hAnsi="宋体" w:eastAsia="Times New Roman"/>
                <w:bCs/>
                <w:sz w:val="18"/>
                <w:szCs w:val="18"/>
              </w:rPr>
              <w:t>2012</w:t>
            </w:r>
            <w:r>
              <w:rPr>
                <w:rFonts w:hint="eastAsia" w:ascii="??_GB2312" w:hAnsi="宋体" w:eastAsia="Times New Roman"/>
                <w:bCs/>
                <w:sz w:val="18"/>
                <w:szCs w:val="18"/>
              </w:rPr>
              <w:t>年</w:t>
            </w:r>
            <w:r>
              <w:rPr>
                <w:rFonts w:ascii="??_GB2312" w:hAnsi="宋体" w:eastAsia="Times New Roman"/>
                <w:bCs/>
                <w:sz w:val="18"/>
                <w:szCs w:val="18"/>
              </w:rPr>
              <w:t>9</w:t>
            </w:r>
            <w:r>
              <w:rPr>
                <w:rFonts w:hint="eastAsia" w:ascii="??_GB2312" w:hAnsi="宋体" w:eastAsia="Times New Roman"/>
                <w:bCs/>
                <w:sz w:val="18"/>
                <w:szCs w:val="18"/>
              </w:rPr>
              <w:t>月；</w:t>
            </w:r>
          </w:p>
          <w:p>
            <w:pPr>
              <w:spacing w:line="240" w:lineRule="exact"/>
              <w:ind w:left="270" w:hanging="270" w:hangingChars="150"/>
              <w:jc w:val="left"/>
              <w:rPr>
                <w:rFonts w:ascii="??_GB2312" w:hAnsi="宋体"/>
                <w:bCs/>
                <w:sz w:val="18"/>
                <w:szCs w:val="18"/>
              </w:rPr>
            </w:pPr>
            <w:r>
              <w:rPr>
                <w:rFonts w:hint="eastAsia" w:ascii="??_GB2312" w:hAnsi="宋体" w:eastAsia="Times New Roman"/>
                <w:bCs/>
                <w:sz w:val="18"/>
                <w:szCs w:val="18"/>
              </w:rPr>
              <w:t>2</w:t>
            </w:r>
            <w:r>
              <w:rPr>
                <w:rFonts w:ascii="??_GB2312" w:hAnsi="宋体" w:eastAsia="Times New Roman"/>
                <w:bCs/>
                <w:sz w:val="18"/>
                <w:szCs w:val="18"/>
              </w:rPr>
              <w:t>．《实用英语语法》张道真主编，外语教学与研究出版社，2002年5月</w:t>
            </w:r>
            <w:r>
              <w:rPr>
                <w:rFonts w:hint="eastAsia" w:ascii="??_GB2312" w:hAnsi="宋体"/>
                <w:bCs/>
                <w:sz w:val="18"/>
                <w:szCs w:val="18"/>
              </w:rPr>
              <w:t>；</w:t>
            </w:r>
          </w:p>
          <w:p>
            <w:pPr>
              <w:spacing w:line="240" w:lineRule="exact"/>
              <w:ind w:left="270" w:hanging="270" w:hangingChars="150"/>
              <w:jc w:val="left"/>
              <w:rPr>
                <w:rFonts w:ascii="??_GB2312" w:hAnsi="宋体"/>
                <w:bCs/>
                <w:sz w:val="18"/>
                <w:szCs w:val="18"/>
              </w:rPr>
            </w:pPr>
            <w:r>
              <w:rPr>
                <w:rFonts w:hint="eastAsia" w:ascii="??_GB2312" w:hAnsi="宋体" w:eastAsia="Times New Roman"/>
                <w:bCs/>
                <w:sz w:val="18"/>
                <w:szCs w:val="18"/>
              </w:rPr>
              <w:t>3</w:t>
            </w:r>
            <w:r>
              <w:rPr>
                <w:rFonts w:ascii="??_GB2312" w:hAnsi="宋体" w:eastAsia="Times New Roman"/>
                <w:bCs/>
                <w:sz w:val="18"/>
                <w:szCs w:val="18"/>
              </w:rPr>
              <w:t>．《新编英语语法教程》（</w:t>
            </w:r>
            <w:r>
              <w:rPr>
                <w:rFonts w:hint="eastAsia" w:ascii="??_GB2312" w:hAnsi="宋体" w:eastAsia="Times New Roman"/>
                <w:bCs/>
                <w:sz w:val="18"/>
                <w:szCs w:val="18"/>
              </w:rPr>
              <w:t>第六版）</w:t>
            </w:r>
            <w:r>
              <w:rPr>
                <w:rFonts w:ascii="??_GB2312" w:hAnsi="宋体" w:eastAsia="Times New Roman"/>
                <w:bCs/>
                <w:sz w:val="18"/>
                <w:szCs w:val="18"/>
              </w:rPr>
              <w:t>章振邦主编，</w:t>
            </w:r>
            <w:r>
              <w:rPr>
                <w:rFonts w:hint="eastAsia" w:ascii="??_GB2312" w:hAnsi="宋体" w:eastAsia="Times New Roman"/>
                <w:bCs/>
                <w:sz w:val="18"/>
                <w:szCs w:val="18"/>
              </w:rPr>
              <w:t>上海外语教育出版社</w:t>
            </w:r>
            <w:r>
              <w:rPr>
                <w:rFonts w:ascii="??_GB2312" w:hAnsi="宋体" w:eastAsia="Times New Roman"/>
                <w:bCs/>
                <w:sz w:val="18"/>
                <w:szCs w:val="18"/>
              </w:rPr>
              <w:t>，</w:t>
            </w:r>
            <w:r>
              <w:rPr>
                <w:rFonts w:hint="eastAsia" w:ascii="??_GB2312" w:hAnsi="宋体" w:eastAsia="Times New Roman"/>
                <w:bCs/>
                <w:sz w:val="18"/>
                <w:szCs w:val="18"/>
              </w:rPr>
              <w:t>201</w:t>
            </w:r>
            <w:r>
              <w:rPr>
                <w:rFonts w:hint="eastAsia" w:ascii="??_GB2312" w:hAnsi="宋体"/>
                <w:bCs/>
                <w:sz w:val="18"/>
                <w:szCs w:val="18"/>
              </w:rPr>
              <w:t>7</w:t>
            </w:r>
            <w:r>
              <w:rPr>
                <w:rFonts w:hint="eastAsia" w:ascii="??_GB2312" w:hAnsi="宋体" w:eastAsia="Times New Roman"/>
                <w:bCs/>
                <w:sz w:val="18"/>
                <w:szCs w:val="18"/>
              </w:rPr>
              <w:t>年</w:t>
            </w:r>
            <w:r>
              <w:rPr>
                <w:rFonts w:hint="eastAsia" w:ascii="??_GB2312" w:hAnsi="宋体"/>
                <w:bCs/>
                <w:sz w:val="18"/>
                <w:szCs w:val="18"/>
              </w:rPr>
              <w:t>9月；</w:t>
            </w:r>
          </w:p>
          <w:p>
            <w:pPr>
              <w:spacing w:line="240" w:lineRule="exact"/>
              <w:ind w:left="270" w:hanging="270" w:hangingChars="150"/>
              <w:jc w:val="left"/>
              <w:rPr>
                <w:rFonts w:ascii="??_GB2312" w:hAnsi="宋体"/>
                <w:bCs/>
                <w:sz w:val="18"/>
                <w:szCs w:val="18"/>
              </w:rPr>
            </w:pPr>
            <w:r>
              <w:rPr>
                <w:rFonts w:hint="eastAsia" w:ascii="??_GB2312" w:hAnsi="宋体" w:eastAsia="Times New Roman"/>
                <w:bCs/>
                <w:sz w:val="18"/>
                <w:szCs w:val="18"/>
              </w:rPr>
              <w:t>4</w:t>
            </w:r>
            <w:r>
              <w:rPr>
                <w:rFonts w:ascii="??_GB2312" w:hAnsi="宋体" w:eastAsia="Times New Roman"/>
                <w:bCs/>
                <w:sz w:val="18"/>
                <w:szCs w:val="18"/>
              </w:rPr>
              <w:t>．《大学英语语法教程》何高大主编，外语教学与研究出版社，2012年4月</w:t>
            </w:r>
            <w:r>
              <w:rPr>
                <w:rFonts w:hint="eastAsia" w:ascii="??_GB2312" w:hAnsi="宋体"/>
                <w:bCs/>
                <w:sz w:val="18"/>
                <w:szCs w:val="18"/>
              </w:rPr>
              <w:t>；</w:t>
            </w:r>
          </w:p>
          <w:p>
            <w:pPr>
              <w:spacing w:line="240" w:lineRule="exact"/>
              <w:ind w:left="270" w:hanging="270" w:hangingChars="150"/>
              <w:jc w:val="left"/>
              <w:rPr>
                <w:rFonts w:ascii="??_GB2312" w:hAnsi="宋体"/>
                <w:bCs/>
                <w:sz w:val="18"/>
                <w:szCs w:val="18"/>
              </w:rPr>
            </w:pPr>
            <w:r>
              <w:rPr>
                <w:rFonts w:hint="eastAsia" w:ascii="??_GB2312" w:hAnsi="宋体" w:eastAsia="Times New Roman"/>
                <w:bCs/>
                <w:sz w:val="18"/>
                <w:szCs w:val="18"/>
              </w:rPr>
              <w:t>5</w:t>
            </w:r>
            <w:r>
              <w:rPr>
                <w:rFonts w:ascii="??_GB2312" w:hAnsi="宋体" w:eastAsia="Times New Roman"/>
                <w:bCs/>
                <w:sz w:val="18"/>
                <w:szCs w:val="18"/>
              </w:rPr>
              <w:t>．</w:t>
            </w:r>
            <w:r>
              <w:rPr>
                <w:rFonts w:hint="eastAsia" w:ascii="??_GB2312" w:hAnsi="宋体" w:eastAsia="Times New Roman"/>
                <w:bCs/>
                <w:sz w:val="18"/>
                <w:szCs w:val="18"/>
              </w:rPr>
              <w:t>郭著章等编著《英汉互译实用教程》（第四版），武汉大学出版社，2010年9月</w:t>
            </w:r>
            <w:r>
              <w:rPr>
                <w:rFonts w:hint="eastAsia" w:ascii="??_GB2312" w:hAnsi="宋体"/>
                <w:bCs/>
                <w:sz w:val="18"/>
                <w:szCs w:val="18"/>
              </w:rPr>
              <w:t>；</w:t>
            </w:r>
          </w:p>
          <w:p>
            <w:pPr>
              <w:spacing w:line="240" w:lineRule="exact"/>
              <w:ind w:left="270" w:hanging="270" w:hangingChars="150"/>
              <w:jc w:val="left"/>
              <w:rPr>
                <w:rFonts w:ascii="??_GB2312" w:hAnsi="宋体" w:eastAsia="Times New Roman"/>
                <w:bCs/>
                <w:sz w:val="18"/>
                <w:szCs w:val="18"/>
                <w:lang w:val="zh-CN"/>
              </w:rPr>
            </w:pPr>
            <w:r>
              <w:rPr>
                <w:rFonts w:hint="eastAsia" w:ascii="??_GB2312" w:hAnsi="宋体" w:eastAsia="Times New Roman"/>
                <w:bCs/>
                <w:sz w:val="18"/>
                <w:szCs w:val="18"/>
                <w:lang w:val="zh-CN"/>
              </w:rPr>
              <w:t>6</w:t>
            </w:r>
            <w:r>
              <w:rPr>
                <w:rFonts w:ascii="??_GB2312" w:hAnsi="宋体" w:eastAsia="Times New Roman"/>
                <w:bCs/>
                <w:sz w:val="18"/>
                <w:szCs w:val="18"/>
              </w:rPr>
              <w:t>．</w:t>
            </w:r>
            <w:r>
              <w:rPr>
                <w:rFonts w:hint="eastAsia" w:ascii="??_GB2312" w:hAnsi="宋体" w:eastAsia="Times New Roman"/>
                <w:bCs/>
                <w:sz w:val="18"/>
                <w:szCs w:val="18"/>
                <w:lang w:val="zh-CN"/>
              </w:rPr>
              <w:t>刘季春编著《基础笔译》，外语教学与研究出版社，2</w:t>
            </w:r>
            <w:r>
              <w:rPr>
                <w:rFonts w:ascii="??_GB2312" w:hAnsi="宋体" w:eastAsia="Times New Roman"/>
                <w:bCs/>
                <w:sz w:val="18"/>
                <w:szCs w:val="18"/>
                <w:lang w:val="zh-CN"/>
              </w:rPr>
              <w:t>015</w:t>
            </w:r>
            <w:r>
              <w:rPr>
                <w:rFonts w:hint="eastAsia" w:ascii="??_GB2312" w:hAnsi="宋体" w:eastAsia="Times New Roman"/>
                <w:bCs/>
                <w:sz w:val="18"/>
                <w:szCs w:val="18"/>
                <w:lang w:val="zh-CN"/>
              </w:rPr>
              <w:t>年8月；</w:t>
            </w:r>
          </w:p>
          <w:p>
            <w:pPr>
              <w:spacing w:line="240" w:lineRule="exact"/>
              <w:ind w:left="270" w:hanging="270" w:hangingChars="150"/>
              <w:jc w:val="left"/>
              <w:rPr>
                <w:rFonts w:ascii="??_GB2312" w:hAnsi="宋体" w:eastAsia="Times New Roman"/>
                <w:bCs/>
                <w:sz w:val="18"/>
                <w:szCs w:val="18"/>
              </w:rPr>
            </w:pPr>
            <w:r>
              <w:rPr>
                <w:rFonts w:hint="eastAsia" w:ascii="??_GB2312" w:hAnsi="宋体" w:eastAsia="Times New Roman"/>
                <w:bCs/>
                <w:sz w:val="18"/>
                <w:szCs w:val="18"/>
                <w:lang w:val="zh-CN"/>
              </w:rPr>
              <w:t>7</w:t>
            </w:r>
            <w:r>
              <w:rPr>
                <w:rFonts w:ascii="??_GB2312" w:hAnsi="宋体" w:eastAsia="Times New Roman"/>
                <w:bCs/>
                <w:sz w:val="18"/>
                <w:szCs w:val="18"/>
              </w:rPr>
              <w:t>．</w:t>
            </w:r>
            <w:r>
              <w:rPr>
                <w:rFonts w:hint="eastAsia" w:ascii="??_GB2312" w:hAnsi="宋体" w:eastAsia="Times New Roman"/>
                <w:bCs/>
                <w:sz w:val="18"/>
                <w:szCs w:val="18"/>
                <w:lang w:val="zh-CN"/>
              </w:rPr>
              <w:t>张培基等主编 《英汉翻译教程》，第2版，上海外语教育出版社，20</w:t>
            </w:r>
            <w:r>
              <w:rPr>
                <w:rFonts w:hint="eastAsia" w:ascii="??_GB2312" w:hAnsi="宋体"/>
                <w:bCs/>
                <w:sz w:val="18"/>
                <w:szCs w:val="18"/>
              </w:rPr>
              <w:t>18</w:t>
            </w:r>
            <w:r>
              <w:rPr>
                <w:rFonts w:hint="eastAsia" w:ascii="??_GB2312" w:hAnsi="宋体" w:eastAsia="Times New Roman"/>
                <w:bCs/>
                <w:sz w:val="18"/>
                <w:szCs w:val="18"/>
                <w:lang w:val="zh-CN"/>
              </w:rPr>
              <w:t>年。</w:t>
            </w:r>
          </w:p>
          <w:p>
            <w:pPr>
              <w:spacing w:line="240" w:lineRule="exact"/>
              <w:ind w:left="270" w:hanging="270" w:hangingChars="150"/>
              <w:jc w:val="left"/>
              <w:rPr>
                <w:rFonts w:ascii="??_GB2312" w:hAnsi="宋体" w:eastAsia="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3" w:hRule="exact"/>
          <w:jc w:val="center"/>
        </w:trPr>
        <w:tc>
          <w:tcPr>
            <w:tcW w:w="1312" w:type="dxa"/>
            <w:vAlign w:val="center"/>
          </w:tcPr>
          <w:p>
            <w:pPr>
              <w:spacing w:line="240" w:lineRule="exact"/>
              <w:jc w:val="center"/>
              <w:rPr>
                <w:rFonts w:ascii="??_GB2312" w:hAnsi="宋体" w:eastAsia="Times New Roman"/>
                <w:kern w:val="0"/>
                <w:sz w:val="18"/>
                <w:szCs w:val="18"/>
              </w:rPr>
            </w:pPr>
            <w:r>
              <w:rPr>
                <w:rFonts w:ascii="??_GB2312" w:hAnsi="宋体" w:eastAsia="Times New Roman"/>
                <w:bCs/>
                <w:sz w:val="18"/>
                <w:szCs w:val="18"/>
              </w:rPr>
              <w:t>小学教育(</w:t>
            </w:r>
            <w:r>
              <w:rPr>
                <w:rFonts w:ascii="??_GB2312" w:hAnsi="宋体" w:eastAsia="Times New Roman" w:cs="宋体"/>
                <w:bCs/>
                <w:sz w:val="18"/>
                <w:szCs w:val="18"/>
              </w:rPr>
              <w:t>师范)</w:t>
            </w:r>
          </w:p>
        </w:tc>
        <w:tc>
          <w:tcPr>
            <w:tcW w:w="1000" w:type="dxa"/>
            <w:vMerge w:val="restart"/>
            <w:vAlign w:val="center"/>
          </w:tcPr>
          <w:p>
            <w:pPr>
              <w:spacing w:line="240" w:lineRule="exact"/>
              <w:rPr>
                <w:rFonts w:ascii="??_GB2312" w:hAnsi="宋体" w:eastAsia="Times New Roman"/>
                <w:sz w:val="18"/>
                <w:szCs w:val="18"/>
              </w:rPr>
            </w:pPr>
            <w:r>
              <w:rPr>
                <w:rFonts w:ascii="??_GB2312" w:hAnsi="宋体" w:eastAsia="Times New Roman"/>
                <w:sz w:val="18"/>
                <w:szCs w:val="18"/>
              </w:rPr>
              <w:t>1．政治理论</w:t>
            </w:r>
          </w:p>
          <w:p>
            <w:pPr>
              <w:spacing w:line="240" w:lineRule="exact"/>
              <w:rPr>
                <w:rFonts w:ascii="??_GB2312" w:hAnsi="宋体" w:eastAsia="Times New Roman"/>
                <w:sz w:val="18"/>
                <w:szCs w:val="18"/>
              </w:rPr>
            </w:pPr>
            <w:r>
              <w:rPr>
                <w:rFonts w:ascii="??_GB2312" w:hAnsi="宋体" w:eastAsia="Times New Roman"/>
                <w:sz w:val="18"/>
                <w:szCs w:val="18"/>
              </w:rPr>
              <w:t>2．英语</w:t>
            </w:r>
          </w:p>
          <w:p>
            <w:pPr>
              <w:spacing w:line="240" w:lineRule="exact"/>
              <w:rPr>
                <w:rFonts w:ascii="??_GB2312" w:hAnsi="宋体" w:eastAsia="Times New Roman"/>
                <w:sz w:val="18"/>
                <w:szCs w:val="18"/>
              </w:rPr>
            </w:pPr>
            <w:r>
              <w:rPr>
                <w:rFonts w:ascii="??_GB2312" w:hAnsi="宋体" w:eastAsia="Times New Roman"/>
                <w:sz w:val="18"/>
                <w:szCs w:val="18"/>
              </w:rPr>
              <w:t>3．教育理论</w:t>
            </w:r>
          </w:p>
        </w:tc>
        <w:tc>
          <w:tcPr>
            <w:tcW w:w="1540" w:type="dxa"/>
            <w:vMerge w:val="restart"/>
            <w:vAlign w:val="center"/>
          </w:tcPr>
          <w:p>
            <w:pPr>
              <w:spacing w:line="240" w:lineRule="exact"/>
              <w:ind w:right="105" w:rightChars="50"/>
              <w:rPr>
                <w:rFonts w:ascii="??_GB2312" w:hAnsi="宋体" w:eastAsia="Times New Roman"/>
                <w:sz w:val="18"/>
                <w:szCs w:val="18"/>
              </w:rPr>
            </w:pPr>
            <w:r>
              <w:rPr>
                <w:rFonts w:ascii="??_GB2312" w:hAnsi="宋体" w:eastAsia="Times New Roman"/>
                <w:sz w:val="18"/>
                <w:szCs w:val="18"/>
              </w:rPr>
              <w:t>1．教育原理</w:t>
            </w:r>
          </w:p>
          <w:p>
            <w:pPr>
              <w:spacing w:line="240" w:lineRule="exact"/>
              <w:rPr>
                <w:rFonts w:ascii="??_GB2312" w:hAnsi="宋体" w:eastAsia="Times New Roman"/>
                <w:sz w:val="18"/>
                <w:szCs w:val="18"/>
              </w:rPr>
            </w:pPr>
            <w:r>
              <w:rPr>
                <w:rFonts w:ascii="??_GB2312" w:hAnsi="宋体" w:eastAsia="Times New Roman"/>
                <w:sz w:val="18"/>
                <w:szCs w:val="18"/>
              </w:rPr>
              <w:t>2．教育心理学</w:t>
            </w:r>
          </w:p>
        </w:tc>
        <w:tc>
          <w:tcPr>
            <w:tcW w:w="6093" w:type="dxa"/>
            <w:vMerge w:val="restart"/>
            <w:vAlign w:val="center"/>
          </w:tcPr>
          <w:p>
            <w:pPr>
              <w:spacing w:line="240" w:lineRule="exact"/>
              <w:ind w:left="270" w:hanging="270" w:hangingChars="150"/>
              <w:jc w:val="left"/>
              <w:rPr>
                <w:rFonts w:ascii="??_GB2312" w:hAnsi="宋体" w:eastAsia="Times New Roman"/>
                <w:bCs/>
                <w:sz w:val="18"/>
                <w:szCs w:val="18"/>
                <w:lang w:val="zh-CN"/>
              </w:rPr>
            </w:pPr>
            <w:r>
              <w:rPr>
                <w:rFonts w:hint="eastAsia" w:ascii="??_GB2312" w:hAnsi="宋体" w:eastAsia="Times New Roman"/>
                <w:bCs/>
                <w:sz w:val="18"/>
                <w:szCs w:val="18"/>
                <w:lang w:val="zh-CN"/>
              </w:rPr>
              <w:t>1．《现代教育原理》柳海民主编，人民教育出版社，20</w:t>
            </w:r>
            <w:r>
              <w:rPr>
                <w:rFonts w:hint="eastAsia" w:ascii="??_GB2312" w:hAnsi="宋体" w:eastAsia="Times New Roman"/>
                <w:bCs/>
                <w:sz w:val="18"/>
                <w:szCs w:val="18"/>
              </w:rPr>
              <w:t>06</w:t>
            </w:r>
            <w:r>
              <w:rPr>
                <w:rFonts w:hint="eastAsia" w:ascii="??_GB2312" w:hAnsi="宋体" w:eastAsia="Times New Roman"/>
                <w:bCs/>
                <w:sz w:val="18"/>
                <w:szCs w:val="18"/>
                <w:lang w:val="zh-CN"/>
              </w:rPr>
              <w:t>年；</w:t>
            </w:r>
          </w:p>
          <w:p>
            <w:pPr>
              <w:spacing w:line="240" w:lineRule="exact"/>
              <w:ind w:left="270" w:hanging="270" w:hangingChars="150"/>
              <w:jc w:val="left"/>
              <w:rPr>
                <w:rFonts w:ascii="??_GB2312" w:hAnsi="宋体" w:eastAsia="Times New Roman"/>
                <w:bCs/>
                <w:sz w:val="18"/>
                <w:szCs w:val="18"/>
                <w:lang w:val="zh-CN"/>
              </w:rPr>
            </w:pPr>
            <w:r>
              <w:rPr>
                <w:rFonts w:hint="eastAsia" w:ascii="??_GB2312" w:hAnsi="宋体" w:eastAsia="Times New Roman"/>
                <w:bCs/>
                <w:sz w:val="18"/>
                <w:szCs w:val="18"/>
                <w:lang w:val="zh-CN"/>
              </w:rPr>
              <w:t>2．《教育学基础》（第三版），全国十二所重点师范大学联合编写，教育科学出版社，20</w:t>
            </w:r>
            <w:r>
              <w:rPr>
                <w:rFonts w:hint="eastAsia" w:ascii="??_GB2312" w:hAnsi="宋体" w:eastAsia="Times New Roman"/>
                <w:bCs/>
                <w:sz w:val="18"/>
                <w:szCs w:val="18"/>
              </w:rPr>
              <w:t>14</w:t>
            </w:r>
            <w:r>
              <w:rPr>
                <w:rFonts w:hint="eastAsia" w:ascii="??_GB2312" w:hAnsi="宋体" w:eastAsia="Times New Roman"/>
                <w:bCs/>
                <w:sz w:val="18"/>
                <w:szCs w:val="18"/>
                <w:lang w:val="zh-CN"/>
              </w:rPr>
              <w:t>年；</w:t>
            </w:r>
          </w:p>
          <w:p>
            <w:pPr>
              <w:spacing w:line="240" w:lineRule="exact"/>
              <w:ind w:left="270" w:hanging="270" w:hangingChars="150"/>
              <w:jc w:val="left"/>
              <w:rPr>
                <w:rFonts w:ascii="??_GB2312" w:hAnsi="宋体" w:eastAsia="Times New Roman"/>
                <w:bCs/>
                <w:sz w:val="18"/>
                <w:szCs w:val="18"/>
              </w:rPr>
            </w:pPr>
            <w:r>
              <w:rPr>
                <w:rFonts w:hint="eastAsia" w:ascii="??_GB2312" w:hAnsi="宋体" w:eastAsia="Times New Roman"/>
                <w:bCs/>
                <w:sz w:val="18"/>
                <w:szCs w:val="18"/>
                <w:lang w:val="zh-CN"/>
              </w:rPr>
              <w:t>3．《现代教育学》</w:t>
            </w:r>
            <w:r>
              <w:rPr>
                <w:rFonts w:hint="eastAsia" w:ascii="??_GB2312" w:hAnsi="宋体" w:eastAsia="Times New Roman"/>
                <w:bCs/>
                <w:sz w:val="18"/>
                <w:szCs w:val="18"/>
              </w:rPr>
              <w:t>（第三版），</w:t>
            </w:r>
            <w:r>
              <w:rPr>
                <w:rFonts w:hint="eastAsia" w:ascii="??_GB2312" w:hAnsi="宋体" w:eastAsia="Times New Roman"/>
                <w:bCs/>
                <w:sz w:val="18"/>
                <w:szCs w:val="18"/>
                <w:lang w:val="zh-CN"/>
              </w:rPr>
              <w:t>扈中平主编，高等教育出版社，2010年；</w:t>
            </w:r>
          </w:p>
          <w:p>
            <w:pPr>
              <w:spacing w:line="240" w:lineRule="exact"/>
              <w:ind w:left="270" w:hanging="270" w:hangingChars="150"/>
              <w:jc w:val="left"/>
              <w:rPr>
                <w:rFonts w:ascii="??_GB2312" w:hAnsi="宋体" w:eastAsia="Times New Roman"/>
                <w:bCs/>
                <w:sz w:val="18"/>
                <w:szCs w:val="18"/>
              </w:rPr>
            </w:pPr>
            <w:r>
              <w:rPr>
                <w:rFonts w:hint="eastAsia" w:ascii="??_GB2312" w:hAnsi="宋体" w:eastAsia="Times New Roman"/>
                <w:bCs/>
                <w:sz w:val="18"/>
                <w:szCs w:val="18"/>
              </w:rPr>
              <w:t>4．《儿童发展与教育心理学》（第二版），伍新春主编，高等教育出版社，2013年。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2" w:hRule="exact"/>
          <w:jc w:val="center"/>
        </w:trPr>
        <w:tc>
          <w:tcPr>
            <w:tcW w:w="1312" w:type="dxa"/>
            <w:vAlign w:val="center"/>
          </w:tcPr>
          <w:p>
            <w:pPr>
              <w:spacing w:line="240" w:lineRule="exact"/>
              <w:jc w:val="center"/>
              <w:rPr>
                <w:rFonts w:ascii="??_GB2312" w:hAnsi="宋体" w:eastAsia="Times New Roman"/>
                <w:bCs/>
                <w:sz w:val="18"/>
                <w:szCs w:val="18"/>
              </w:rPr>
            </w:pPr>
            <w:r>
              <w:rPr>
                <w:rFonts w:ascii="??_GB2312" w:hAnsi="宋体" w:eastAsia="Times New Roman"/>
                <w:bCs/>
                <w:sz w:val="18"/>
                <w:szCs w:val="18"/>
              </w:rPr>
              <w:t>学前教育(师范)</w:t>
            </w:r>
          </w:p>
        </w:tc>
        <w:tc>
          <w:tcPr>
            <w:tcW w:w="1000" w:type="dxa"/>
            <w:vMerge w:val="continue"/>
            <w:vAlign w:val="center"/>
          </w:tcPr>
          <w:p>
            <w:pPr>
              <w:spacing w:line="240" w:lineRule="exact"/>
              <w:rPr>
                <w:rFonts w:ascii="??_GB2312" w:hAnsi="宋体" w:eastAsia="Times New Roman"/>
                <w:sz w:val="18"/>
                <w:szCs w:val="18"/>
              </w:rPr>
            </w:pPr>
          </w:p>
        </w:tc>
        <w:tc>
          <w:tcPr>
            <w:tcW w:w="1540" w:type="dxa"/>
            <w:vMerge w:val="continue"/>
            <w:vAlign w:val="center"/>
          </w:tcPr>
          <w:p>
            <w:pPr>
              <w:spacing w:line="240" w:lineRule="exact"/>
              <w:ind w:right="105" w:rightChars="50"/>
              <w:rPr>
                <w:rFonts w:ascii="??_GB2312" w:hAnsi="宋体" w:eastAsia="Times New Roman"/>
                <w:sz w:val="18"/>
                <w:szCs w:val="18"/>
              </w:rPr>
            </w:pPr>
          </w:p>
        </w:tc>
        <w:tc>
          <w:tcPr>
            <w:tcW w:w="6093" w:type="dxa"/>
            <w:vMerge w:val="continue"/>
            <w:vAlign w:val="center"/>
          </w:tcPr>
          <w:p>
            <w:pPr>
              <w:spacing w:line="240" w:lineRule="exact"/>
              <w:ind w:left="270" w:hanging="270" w:hangingChars="150"/>
              <w:jc w:val="left"/>
              <w:rPr>
                <w:rFonts w:ascii="??_GB2312" w:hAnsi="宋体" w:eastAsia="Times New Roman"/>
                <w:bCs/>
                <w:sz w:val="18"/>
                <w:szCs w:val="1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6" w:hRule="atLeast"/>
          <w:jc w:val="center"/>
        </w:trPr>
        <w:tc>
          <w:tcPr>
            <w:tcW w:w="1312" w:type="dxa"/>
            <w:vAlign w:val="center"/>
          </w:tcPr>
          <w:p>
            <w:pPr>
              <w:spacing w:line="240" w:lineRule="exact"/>
              <w:jc w:val="center"/>
              <w:rPr>
                <w:rFonts w:ascii="??_GB2312" w:hAnsi="宋体" w:eastAsia="Times New Roman"/>
                <w:bCs/>
                <w:sz w:val="18"/>
                <w:szCs w:val="18"/>
              </w:rPr>
            </w:pPr>
            <w:r>
              <w:rPr>
                <w:rFonts w:ascii="??_GB2312" w:hAnsi="宋体" w:eastAsia="Times New Roman"/>
                <w:bCs/>
                <w:sz w:val="18"/>
                <w:szCs w:val="18"/>
              </w:rPr>
              <w:t>生物科学(</w:t>
            </w:r>
            <w:r>
              <w:rPr>
                <w:rFonts w:ascii="??_GB2312" w:hAnsi="宋体" w:eastAsia="Times New Roman" w:cs="宋体"/>
                <w:bCs/>
                <w:sz w:val="18"/>
                <w:szCs w:val="18"/>
              </w:rPr>
              <w:t>师范)</w:t>
            </w:r>
          </w:p>
        </w:tc>
        <w:tc>
          <w:tcPr>
            <w:tcW w:w="1000" w:type="dxa"/>
            <w:vAlign w:val="center"/>
          </w:tcPr>
          <w:p>
            <w:pPr>
              <w:spacing w:line="240" w:lineRule="exact"/>
              <w:rPr>
                <w:rFonts w:ascii="??_GB2312" w:hAnsi="宋体" w:eastAsia="Times New Roman"/>
                <w:sz w:val="18"/>
                <w:szCs w:val="18"/>
              </w:rPr>
            </w:pPr>
            <w:r>
              <w:rPr>
                <w:rFonts w:ascii="??_GB2312" w:hAnsi="宋体" w:eastAsia="Times New Roman"/>
                <w:sz w:val="18"/>
                <w:szCs w:val="18"/>
              </w:rPr>
              <w:t>1．政治理论</w:t>
            </w:r>
          </w:p>
          <w:p>
            <w:pPr>
              <w:spacing w:line="240" w:lineRule="exact"/>
              <w:rPr>
                <w:rFonts w:ascii="??_GB2312" w:hAnsi="宋体" w:eastAsia="Times New Roman"/>
                <w:sz w:val="18"/>
                <w:szCs w:val="18"/>
              </w:rPr>
            </w:pPr>
            <w:r>
              <w:rPr>
                <w:rFonts w:ascii="??_GB2312" w:hAnsi="宋体" w:eastAsia="Times New Roman"/>
                <w:sz w:val="18"/>
                <w:szCs w:val="18"/>
              </w:rPr>
              <w:t>2．英语</w:t>
            </w:r>
          </w:p>
          <w:p>
            <w:pPr>
              <w:spacing w:line="240" w:lineRule="exact"/>
              <w:rPr>
                <w:rFonts w:ascii="??_GB2312" w:hAnsi="宋体" w:eastAsia="Times New Roman"/>
                <w:sz w:val="18"/>
                <w:szCs w:val="18"/>
              </w:rPr>
            </w:pPr>
            <w:r>
              <w:rPr>
                <w:rFonts w:ascii="??_GB2312" w:hAnsi="宋体" w:eastAsia="Times New Roman"/>
                <w:sz w:val="18"/>
                <w:szCs w:val="18"/>
              </w:rPr>
              <w:t>3．高等数学</w:t>
            </w:r>
          </w:p>
        </w:tc>
        <w:tc>
          <w:tcPr>
            <w:tcW w:w="1540" w:type="dxa"/>
            <w:vAlign w:val="center"/>
          </w:tcPr>
          <w:p>
            <w:pPr>
              <w:spacing w:line="240" w:lineRule="exact"/>
              <w:ind w:right="105" w:rightChars="50"/>
              <w:rPr>
                <w:rFonts w:ascii="??_GB2312" w:hAnsi="宋体" w:eastAsia="Times New Roman"/>
                <w:sz w:val="18"/>
                <w:szCs w:val="18"/>
              </w:rPr>
            </w:pPr>
            <w:r>
              <w:rPr>
                <w:rFonts w:ascii="??_GB2312" w:hAnsi="宋体" w:eastAsia="Times New Roman"/>
                <w:sz w:val="18"/>
                <w:szCs w:val="18"/>
              </w:rPr>
              <w:t>1．植物学</w:t>
            </w:r>
          </w:p>
          <w:p>
            <w:pPr>
              <w:spacing w:line="240" w:lineRule="exact"/>
              <w:ind w:right="105" w:rightChars="50"/>
              <w:rPr>
                <w:rFonts w:ascii="??_GB2312" w:hAnsi="宋体" w:eastAsia="Times New Roman"/>
                <w:sz w:val="18"/>
                <w:szCs w:val="18"/>
              </w:rPr>
            </w:pPr>
            <w:r>
              <w:rPr>
                <w:rFonts w:ascii="??_GB2312" w:hAnsi="宋体" w:eastAsia="Times New Roman"/>
                <w:sz w:val="18"/>
                <w:szCs w:val="18"/>
              </w:rPr>
              <w:t>2．动物学</w:t>
            </w:r>
          </w:p>
        </w:tc>
        <w:tc>
          <w:tcPr>
            <w:tcW w:w="6093" w:type="dxa"/>
            <w:vAlign w:val="center"/>
          </w:tcPr>
          <w:p>
            <w:pPr>
              <w:spacing w:line="240" w:lineRule="exact"/>
              <w:ind w:left="270" w:hanging="270" w:hangingChars="150"/>
              <w:jc w:val="left"/>
              <w:rPr>
                <w:rFonts w:ascii="??_GB2312" w:hAnsi="宋体" w:eastAsia="Times New Roman"/>
                <w:bCs/>
                <w:sz w:val="18"/>
                <w:szCs w:val="18"/>
              </w:rPr>
            </w:pPr>
            <w:r>
              <w:rPr>
                <w:rFonts w:hint="eastAsia" w:ascii="??_GB2312" w:hAnsi="宋体" w:eastAsia="Times New Roman"/>
                <w:bCs/>
                <w:sz w:val="18"/>
                <w:szCs w:val="18"/>
              </w:rPr>
              <w:t>1</w:t>
            </w:r>
            <w:r>
              <w:rPr>
                <w:rFonts w:hint="eastAsia" w:ascii="??_GB2312" w:hAnsi="宋体" w:eastAsia="Times New Roman"/>
                <w:bCs/>
                <w:sz w:val="18"/>
                <w:szCs w:val="18"/>
                <w:lang w:val="zh-CN"/>
              </w:rPr>
              <w:t>．</w:t>
            </w:r>
            <w:r>
              <w:rPr>
                <w:rFonts w:hint="eastAsia" w:ascii="??_GB2312" w:hAnsi="宋体" w:eastAsia="Times New Roman"/>
                <w:bCs/>
                <w:sz w:val="18"/>
                <w:szCs w:val="18"/>
              </w:rPr>
              <w:t>《植物学》（第二版），陆时万、吴国芳等主编，北京高等教育出版社，2005年；</w:t>
            </w:r>
          </w:p>
          <w:p>
            <w:pPr>
              <w:spacing w:line="240" w:lineRule="exact"/>
              <w:ind w:left="270" w:hanging="270" w:hangingChars="150"/>
              <w:jc w:val="left"/>
              <w:rPr>
                <w:rFonts w:ascii="??_GB2312" w:hAnsi="宋体" w:eastAsia="Times New Roman"/>
                <w:bCs/>
                <w:sz w:val="18"/>
                <w:szCs w:val="18"/>
              </w:rPr>
            </w:pPr>
            <w:r>
              <w:rPr>
                <w:rFonts w:hint="eastAsia" w:ascii="??_GB2312" w:hAnsi="宋体" w:eastAsia="Times New Roman"/>
                <w:bCs/>
                <w:sz w:val="18"/>
                <w:szCs w:val="18"/>
              </w:rPr>
              <w:t>2</w:t>
            </w:r>
            <w:r>
              <w:rPr>
                <w:rFonts w:hint="eastAsia" w:ascii="??_GB2312" w:hAnsi="宋体" w:eastAsia="Times New Roman"/>
                <w:bCs/>
                <w:sz w:val="18"/>
                <w:szCs w:val="18"/>
                <w:lang w:val="zh-CN"/>
              </w:rPr>
              <w:t>．</w:t>
            </w:r>
            <w:r>
              <w:rPr>
                <w:rFonts w:hint="eastAsia" w:ascii="??_GB2312" w:hAnsi="宋体" w:eastAsia="Times New Roman"/>
                <w:bCs/>
                <w:sz w:val="18"/>
                <w:szCs w:val="18"/>
              </w:rPr>
              <w:t>《植物学》，谢国文等编，中国教育文化出版社，2005年；</w:t>
            </w:r>
          </w:p>
          <w:p>
            <w:pPr>
              <w:spacing w:line="240" w:lineRule="exact"/>
              <w:ind w:left="270" w:hanging="270" w:hangingChars="150"/>
              <w:jc w:val="left"/>
              <w:rPr>
                <w:rFonts w:ascii="??_GB2312" w:hAnsi="宋体" w:eastAsia="Times New Roman"/>
                <w:bCs/>
                <w:sz w:val="18"/>
                <w:szCs w:val="18"/>
              </w:rPr>
            </w:pPr>
            <w:r>
              <w:rPr>
                <w:rFonts w:hint="eastAsia" w:ascii="??_GB2312" w:hAnsi="宋体" w:eastAsia="Times New Roman"/>
                <w:bCs/>
                <w:sz w:val="18"/>
                <w:szCs w:val="18"/>
              </w:rPr>
              <w:t>3</w:t>
            </w:r>
            <w:r>
              <w:rPr>
                <w:rFonts w:hint="eastAsia" w:ascii="??_GB2312" w:hAnsi="宋体" w:eastAsia="Times New Roman"/>
                <w:bCs/>
                <w:sz w:val="18"/>
                <w:szCs w:val="18"/>
                <w:lang w:val="zh-CN"/>
              </w:rPr>
              <w:t>．</w:t>
            </w:r>
            <w:r>
              <w:rPr>
                <w:rFonts w:hint="eastAsia" w:ascii="??_GB2312" w:hAnsi="宋体" w:eastAsia="Times New Roman"/>
                <w:bCs/>
                <w:sz w:val="18"/>
                <w:szCs w:val="18"/>
              </w:rPr>
              <w:t>《动物学》，姜云垒、冯江主编，高等教育出版社，2006年；</w:t>
            </w:r>
          </w:p>
          <w:p>
            <w:pPr>
              <w:spacing w:line="240" w:lineRule="exact"/>
              <w:ind w:left="270" w:hanging="270" w:hangingChars="150"/>
              <w:jc w:val="left"/>
              <w:rPr>
                <w:rFonts w:ascii="??_GB2312" w:hAnsi="宋体" w:eastAsia="Times New Roman"/>
                <w:bCs/>
                <w:sz w:val="18"/>
                <w:szCs w:val="18"/>
              </w:rPr>
            </w:pPr>
            <w:r>
              <w:rPr>
                <w:rFonts w:hint="eastAsia" w:ascii="??_GB2312" w:hAnsi="宋体" w:eastAsia="Times New Roman"/>
                <w:bCs/>
                <w:sz w:val="18"/>
                <w:szCs w:val="18"/>
              </w:rPr>
              <w:t>4</w:t>
            </w:r>
            <w:r>
              <w:rPr>
                <w:rFonts w:hint="eastAsia" w:ascii="??_GB2312" w:hAnsi="宋体" w:eastAsia="Times New Roman"/>
                <w:bCs/>
                <w:sz w:val="18"/>
                <w:szCs w:val="18"/>
                <w:lang w:val="zh-CN"/>
              </w:rPr>
              <w:t>．</w:t>
            </w:r>
            <w:r>
              <w:rPr>
                <w:rFonts w:hint="eastAsia" w:ascii="??_GB2312" w:hAnsi="宋体" w:eastAsia="Times New Roman"/>
                <w:bCs/>
                <w:sz w:val="18"/>
                <w:szCs w:val="18"/>
              </w:rPr>
              <w:t>《普通动物学》（第三版），刘凌云、郑光美，高等教育出版社，1997年。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7" w:hRule="atLeast"/>
          <w:jc w:val="center"/>
        </w:trPr>
        <w:tc>
          <w:tcPr>
            <w:tcW w:w="1312" w:type="dxa"/>
            <w:vAlign w:val="center"/>
          </w:tcPr>
          <w:p>
            <w:pPr>
              <w:spacing w:line="240" w:lineRule="exact"/>
              <w:jc w:val="center"/>
              <w:rPr>
                <w:rFonts w:ascii="??_GB2312" w:hAnsi="宋体" w:eastAsia="Times New Roman"/>
                <w:bCs/>
                <w:sz w:val="18"/>
                <w:szCs w:val="18"/>
              </w:rPr>
            </w:pPr>
            <w:r>
              <w:rPr>
                <w:rFonts w:ascii="??_GB2312" w:hAnsi="宋体" w:eastAsia="Times New Roman"/>
                <w:bCs/>
                <w:sz w:val="18"/>
                <w:szCs w:val="18"/>
              </w:rPr>
              <w:t>生物</w:t>
            </w:r>
            <w:r>
              <w:rPr>
                <w:rFonts w:hint="eastAsia" w:ascii="??_GB2312" w:hAnsi="宋体"/>
                <w:bCs/>
                <w:sz w:val="18"/>
                <w:szCs w:val="18"/>
              </w:rPr>
              <w:t>技术(师范)</w:t>
            </w:r>
          </w:p>
        </w:tc>
        <w:tc>
          <w:tcPr>
            <w:tcW w:w="1000" w:type="dxa"/>
            <w:vAlign w:val="center"/>
          </w:tcPr>
          <w:p>
            <w:pPr>
              <w:spacing w:line="240" w:lineRule="exact"/>
              <w:rPr>
                <w:rFonts w:ascii="??_GB2312" w:hAnsi="宋体" w:eastAsia="Times New Roman"/>
                <w:sz w:val="18"/>
                <w:szCs w:val="18"/>
              </w:rPr>
            </w:pPr>
            <w:r>
              <w:rPr>
                <w:rFonts w:ascii="??_GB2312" w:hAnsi="宋体" w:eastAsia="Times New Roman"/>
                <w:sz w:val="18"/>
                <w:szCs w:val="18"/>
              </w:rPr>
              <w:t>1．政治理论</w:t>
            </w:r>
          </w:p>
          <w:p>
            <w:pPr>
              <w:spacing w:line="240" w:lineRule="exact"/>
              <w:rPr>
                <w:rFonts w:ascii="??_GB2312" w:hAnsi="宋体" w:eastAsia="Times New Roman"/>
                <w:sz w:val="18"/>
                <w:szCs w:val="18"/>
              </w:rPr>
            </w:pPr>
            <w:r>
              <w:rPr>
                <w:rFonts w:ascii="??_GB2312" w:hAnsi="宋体" w:eastAsia="Times New Roman"/>
                <w:sz w:val="18"/>
                <w:szCs w:val="18"/>
              </w:rPr>
              <w:t>2．英语</w:t>
            </w:r>
          </w:p>
          <w:p>
            <w:pPr>
              <w:spacing w:line="240" w:lineRule="exact"/>
              <w:rPr>
                <w:rFonts w:ascii="??_GB2312" w:hAnsi="宋体" w:eastAsia="Times New Roman"/>
                <w:sz w:val="18"/>
                <w:szCs w:val="18"/>
              </w:rPr>
            </w:pPr>
            <w:r>
              <w:rPr>
                <w:rFonts w:ascii="??_GB2312" w:hAnsi="宋体" w:eastAsia="Times New Roman"/>
                <w:sz w:val="18"/>
                <w:szCs w:val="18"/>
              </w:rPr>
              <w:t>3．高等数学</w:t>
            </w:r>
          </w:p>
        </w:tc>
        <w:tc>
          <w:tcPr>
            <w:tcW w:w="1540" w:type="dxa"/>
            <w:vAlign w:val="center"/>
          </w:tcPr>
          <w:p>
            <w:pPr>
              <w:spacing w:line="240" w:lineRule="exact"/>
              <w:ind w:right="105" w:rightChars="50"/>
              <w:rPr>
                <w:rFonts w:ascii="Times New Roman" w:hAnsi="Times New Roman"/>
                <w:sz w:val="18"/>
                <w:szCs w:val="18"/>
              </w:rPr>
            </w:pPr>
            <w:r>
              <w:rPr>
                <w:rFonts w:ascii="Times New Roman" w:hAnsi="Times New Roman"/>
                <w:sz w:val="18"/>
                <w:szCs w:val="18"/>
              </w:rPr>
              <w:t>1</w:t>
            </w:r>
            <w:r>
              <w:rPr>
                <w:rFonts w:ascii="??_GB2312" w:hAnsi="宋体" w:eastAsia="Times New Roman"/>
                <w:sz w:val="18"/>
                <w:szCs w:val="18"/>
              </w:rPr>
              <w:t>．</w:t>
            </w:r>
            <w:r>
              <w:rPr>
                <w:rFonts w:ascii="Times New Roman" w:hAnsi="Times New Roman"/>
                <w:sz w:val="18"/>
                <w:szCs w:val="18"/>
              </w:rPr>
              <w:t>普通生物学</w:t>
            </w:r>
          </w:p>
          <w:p>
            <w:pPr>
              <w:spacing w:line="240" w:lineRule="exact"/>
              <w:ind w:right="105" w:rightChars="50"/>
              <w:rPr>
                <w:rFonts w:ascii="??_GB2312" w:hAnsi="宋体"/>
                <w:sz w:val="18"/>
                <w:szCs w:val="18"/>
              </w:rPr>
            </w:pPr>
            <w:r>
              <w:rPr>
                <w:rFonts w:ascii="Times New Roman" w:hAnsi="Times New Roman"/>
                <w:sz w:val="18"/>
                <w:szCs w:val="18"/>
              </w:rPr>
              <w:t>2</w:t>
            </w:r>
            <w:r>
              <w:rPr>
                <w:rFonts w:ascii="??_GB2312" w:hAnsi="宋体" w:eastAsia="Times New Roman"/>
                <w:sz w:val="18"/>
                <w:szCs w:val="18"/>
              </w:rPr>
              <w:t>．</w:t>
            </w:r>
            <w:r>
              <w:rPr>
                <w:rFonts w:ascii="Times New Roman" w:hAnsi="Times New Roman"/>
                <w:sz w:val="18"/>
                <w:szCs w:val="18"/>
              </w:rPr>
              <w:t>微生物学</w:t>
            </w:r>
          </w:p>
        </w:tc>
        <w:tc>
          <w:tcPr>
            <w:tcW w:w="6093" w:type="dxa"/>
            <w:vAlign w:val="center"/>
          </w:tcPr>
          <w:p>
            <w:pPr>
              <w:spacing w:line="240" w:lineRule="exact"/>
              <w:ind w:left="270" w:hanging="270" w:hangingChars="150"/>
              <w:jc w:val="left"/>
              <w:rPr>
                <w:rFonts w:ascii="??_GB2312" w:hAnsi="宋体" w:eastAsia="Times New Roman"/>
                <w:bCs/>
                <w:sz w:val="18"/>
                <w:szCs w:val="18"/>
              </w:rPr>
            </w:pPr>
            <w:r>
              <w:rPr>
                <w:rFonts w:hint="eastAsia" w:ascii="??_GB2312" w:hAnsi="宋体" w:eastAsia="Times New Roman"/>
                <w:bCs/>
                <w:sz w:val="18"/>
                <w:szCs w:val="18"/>
              </w:rPr>
              <w:t>1</w:t>
            </w:r>
            <w:r>
              <w:rPr>
                <w:rFonts w:hint="eastAsia" w:ascii="??_GB2312" w:hAnsi="宋体" w:eastAsia="Times New Roman"/>
                <w:bCs/>
                <w:sz w:val="18"/>
                <w:szCs w:val="18"/>
                <w:lang w:val="zh-CN"/>
              </w:rPr>
              <w:t>．</w:t>
            </w:r>
            <w:r>
              <w:rPr>
                <w:rFonts w:hint="eastAsia" w:ascii="??_GB2312" w:hAnsi="宋体" w:eastAsia="Times New Roman"/>
                <w:bCs/>
                <w:sz w:val="18"/>
                <w:szCs w:val="18"/>
              </w:rPr>
              <w:t>《普通生物学》（第二版），胡金良、王庆亚主编，高等教育出版社，2014年；</w:t>
            </w:r>
          </w:p>
          <w:p>
            <w:pPr>
              <w:spacing w:line="240" w:lineRule="exact"/>
              <w:ind w:left="270" w:hanging="270" w:hangingChars="150"/>
              <w:jc w:val="left"/>
              <w:rPr>
                <w:rFonts w:ascii="??_GB2312" w:hAnsi="宋体" w:eastAsia="Times New Roman"/>
                <w:bCs/>
                <w:sz w:val="18"/>
                <w:szCs w:val="18"/>
              </w:rPr>
            </w:pPr>
            <w:r>
              <w:rPr>
                <w:rFonts w:hint="eastAsia" w:ascii="??_GB2312" w:hAnsi="宋体" w:eastAsia="Times New Roman"/>
                <w:bCs/>
                <w:sz w:val="18"/>
                <w:szCs w:val="18"/>
              </w:rPr>
              <w:t>2．《普通生物学》，顾德兴主编，高等教育出版社，2000年；</w:t>
            </w:r>
          </w:p>
          <w:p>
            <w:pPr>
              <w:spacing w:line="240" w:lineRule="exact"/>
              <w:ind w:left="270" w:hanging="270" w:hangingChars="150"/>
              <w:jc w:val="left"/>
              <w:rPr>
                <w:rFonts w:ascii="??_GB2312" w:hAnsi="宋体" w:eastAsia="Times New Roman"/>
                <w:bCs/>
                <w:sz w:val="18"/>
                <w:szCs w:val="18"/>
              </w:rPr>
            </w:pPr>
            <w:r>
              <w:rPr>
                <w:rFonts w:hint="eastAsia" w:ascii="??_GB2312" w:hAnsi="宋体" w:eastAsia="Times New Roman"/>
                <w:bCs/>
                <w:sz w:val="18"/>
                <w:szCs w:val="18"/>
              </w:rPr>
              <w:t>3</w:t>
            </w:r>
            <w:r>
              <w:rPr>
                <w:rFonts w:hint="eastAsia" w:ascii="??_GB2312" w:hAnsi="宋体" w:eastAsia="Times New Roman"/>
                <w:bCs/>
                <w:sz w:val="18"/>
                <w:szCs w:val="18"/>
                <w:lang w:val="zh-CN"/>
              </w:rPr>
              <w:t>．</w:t>
            </w:r>
            <w:r>
              <w:rPr>
                <w:rFonts w:hint="eastAsia" w:ascii="??_GB2312" w:hAnsi="宋体" w:eastAsia="Times New Roman"/>
                <w:bCs/>
                <w:sz w:val="18"/>
                <w:szCs w:val="18"/>
              </w:rPr>
              <w:t>《微生物学教程》（第三版），周德庆主编，高等教育出版社，2011年；</w:t>
            </w:r>
          </w:p>
          <w:p>
            <w:pPr>
              <w:spacing w:line="240" w:lineRule="exact"/>
              <w:ind w:left="270" w:hanging="270" w:hangingChars="150"/>
              <w:jc w:val="left"/>
              <w:rPr>
                <w:rFonts w:ascii="??_GB2312" w:hAnsi="宋体"/>
                <w:sz w:val="18"/>
                <w:szCs w:val="18"/>
              </w:rPr>
            </w:pPr>
            <w:r>
              <w:rPr>
                <w:rFonts w:hint="eastAsia" w:ascii="??_GB2312" w:hAnsi="宋体" w:eastAsia="Times New Roman"/>
                <w:bCs/>
                <w:sz w:val="18"/>
                <w:szCs w:val="18"/>
              </w:rPr>
              <w:t>4</w:t>
            </w:r>
            <w:r>
              <w:rPr>
                <w:rFonts w:hint="eastAsia" w:ascii="??_GB2312" w:hAnsi="宋体" w:eastAsia="Times New Roman"/>
                <w:bCs/>
                <w:sz w:val="18"/>
                <w:szCs w:val="18"/>
                <w:lang w:val="zh-CN"/>
              </w:rPr>
              <w:t>．</w:t>
            </w:r>
            <w:r>
              <w:rPr>
                <w:rFonts w:hint="eastAsia" w:ascii="??_GB2312" w:hAnsi="宋体" w:eastAsia="Times New Roman"/>
                <w:bCs/>
                <w:sz w:val="18"/>
                <w:szCs w:val="18"/>
              </w:rPr>
              <w:t>《微生物学》（第三版），黄秀梨等主编，高等教育出版社，2009年。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7" w:hRule="atLeast"/>
          <w:jc w:val="center"/>
        </w:trPr>
        <w:tc>
          <w:tcPr>
            <w:tcW w:w="1312" w:type="dxa"/>
            <w:vAlign w:val="center"/>
          </w:tcPr>
          <w:p>
            <w:pPr>
              <w:spacing w:line="240" w:lineRule="exact"/>
              <w:jc w:val="center"/>
              <w:rPr>
                <w:rFonts w:ascii="??_GB2312" w:hAnsi="宋体" w:eastAsia="Times New Roman"/>
                <w:bCs/>
                <w:sz w:val="18"/>
                <w:szCs w:val="18"/>
              </w:rPr>
            </w:pPr>
            <w:r>
              <w:rPr>
                <w:rFonts w:hint="eastAsia" w:ascii="??_GB2312" w:hAnsi="宋体" w:eastAsia="Times New Roman"/>
                <w:bCs/>
                <w:sz w:val="18"/>
                <w:szCs w:val="18"/>
              </w:rPr>
              <w:t>国际经济与贸易</w:t>
            </w:r>
          </w:p>
        </w:tc>
        <w:tc>
          <w:tcPr>
            <w:tcW w:w="1000" w:type="dxa"/>
            <w:vAlign w:val="center"/>
          </w:tcPr>
          <w:p>
            <w:pPr>
              <w:spacing w:line="240" w:lineRule="exact"/>
              <w:rPr>
                <w:rFonts w:ascii="??_GB2312" w:hAnsi="宋体" w:eastAsia="Times New Roman"/>
                <w:sz w:val="18"/>
                <w:szCs w:val="18"/>
              </w:rPr>
            </w:pPr>
            <w:r>
              <w:rPr>
                <w:rFonts w:ascii="??_GB2312" w:hAnsi="宋体" w:eastAsia="Times New Roman"/>
                <w:sz w:val="18"/>
                <w:szCs w:val="18"/>
              </w:rPr>
              <w:t>1．政治理论</w:t>
            </w:r>
          </w:p>
          <w:p>
            <w:pPr>
              <w:spacing w:line="240" w:lineRule="exact"/>
              <w:rPr>
                <w:rFonts w:ascii="??_GB2312" w:hAnsi="宋体" w:eastAsia="Times New Roman"/>
                <w:sz w:val="18"/>
                <w:szCs w:val="18"/>
              </w:rPr>
            </w:pPr>
            <w:r>
              <w:rPr>
                <w:rFonts w:ascii="??_GB2312" w:hAnsi="宋体" w:eastAsia="Times New Roman"/>
                <w:sz w:val="18"/>
                <w:szCs w:val="18"/>
              </w:rPr>
              <w:t>2．英语</w:t>
            </w:r>
          </w:p>
          <w:p>
            <w:pPr>
              <w:spacing w:line="240" w:lineRule="exact"/>
              <w:rPr>
                <w:rFonts w:ascii="??_GB2312" w:hAnsi="宋体" w:eastAsia="Times New Roman"/>
                <w:sz w:val="18"/>
                <w:szCs w:val="18"/>
              </w:rPr>
            </w:pPr>
            <w:r>
              <w:rPr>
                <w:rFonts w:ascii="??_GB2312" w:hAnsi="宋体" w:eastAsia="Times New Roman"/>
                <w:sz w:val="18"/>
                <w:szCs w:val="18"/>
              </w:rPr>
              <w:t>3．</w:t>
            </w:r>
            <w:r>
              <w:rPr>
                <w:rFonts w:hint="eastAsia" w:ascii="??_GB2312" w:hAnsi="宋体"/>
                <w:sz w:val="18"/>
                <w:szCs w:val="18"/>
              </w:rPr>
              <w:t>管理</w:t>
            </w:r>
            <w:r>
              <w:rPr>
                <w:rFonts w:ascii="??_GB2312" w:hAnsi="宋体" w:eastAsia="Times New Roman"/>
                <w:sz w:val="18"/>
                <w:szCs w:val="18"/>
              </w:rPr>
              <w:t>学</w:t>
            </w:r>
          </w:p>
        </w:tc>
        <w:tc>
          <w:tcPr>
            <w:tcW w:w="1540" w:type="dxa"/>
            <w:vAlign w:val="center"/>
          </w:tcPr>
          <w:p>
            <w:pPr>
              <w:spacing w:line="240" w:lineRule="exact"/>
              <w:ind w:right="105" w:rightChars="50"/>
              <w:rPr>
                <w:rFonts w:ascii="Times New Roman" w:hAnsi="Times New Roman"/>
                <w:sz w:val="18"/>
                <w:szCs w:val="18"/>
              </w:rPr>
            </w:pPr>
            <w:r>
              <w:rPr>
                <w:rFonts w:ascii="Times New Roman" w:hAnsi="Times New Roman"/>
                <w:sz w:val="18"/>
                <w:szCs w:val="18"/>
              </w:rPr>
              <w:t>1</w:t>
            </w:r>
            <w:r>
              <w:rPr>
                <w:rFonts w:ascii="??_GB2312" w:hAnsi="宋体" w:eastAsia="Times New Roman"/>
                <w:sz w:val="18"/>
                <w:szCs w:val="18"/>
              </w:rPr>
              <w:t>．</w:t>
            </w:r>
            <w:r>
              <w:rPr>
                <w:rFonts w:ascii="Times New Roman" w:hAnsi="Times New Roman"/>
                <w:sz w:val="18"/>
                <w:szCs w:val="18"/>
              </w:rPr>
              <w:t>国际贸易实务</w:t>
            </w:r>
          </w:p>
          <w:p>
            <w:pPr>
              <w:spacing w:line="240" w:lineRule="exact"/>
              <w:ind w:right="105" w:rightChars="50"/>
              <w:rPr>
                <w:rFonts w:ascii="??_GB2312" w:hAnsi="宋体"/>
                <w:sz w:val="18"/>
                <w:szCs w:val="18"/>
              </w:rPr>
            </w:pPr>
            <w:r>
              <w:rPr>
                <w:rFonts w:ascii="Times New Roman" w:hAnsi="Times New Roman"/>
                <w:sz w:val="18"/>
                <w:szCs w:val="18"/>
              </w:rPr>
              <w:t>2</w:t>
            </w:r>
            <w:r>
              <w:rPr>
                <w:rFonts w:ascii="??_GB2312" w:hAnsi="宋体" w:eastAsia="Times New Roman"/>
                <w:sz w:val="18"/>
                <w:szCs w:val="18"/>
              </w:rPr>
              <w:t>．</w:t>
            </w:r>
            <w:r>
              <w:rPr>
                <w:rFonts w:ascii="Times New Roman" w:hAnsi="Times New Roman"/>
                <w:sz w:val="18"/>
                <w:szCs w:val="18"/>
              </w:rPr>
              <w:t>微观经济学</w:t>
            </w:r>
          </w:p>
        </w:tc>
        <w:tc>
          <w:tcPr>
            <w:tcW w:w="6093" w:type="dxa"/>
            <w:vAlign w:val="center"/>
          </w:tcPr>
          <w:p>
            <w:pPr>
              <w:spacing w:line="240" w:lineRule="exact"/>
              <w:ind w:left="270" w:hanging="270" w:hangingChars="150"/>
              <w:jc w:val="left"/>
              <w:rPr>
                <w:rFonts w:ascii="??_GB2312" w:hAnsi="宋体" w:eastAsia="Times New Roman"/>
                <w:bCs/>
                <w:sz w:val="18"/>
                <w:szCs w:val="18"/>
                <w:lang w:val="zh-CN"/>
              </w:rPr>
            </w:pPr>
            <w:r>
              <w:rPr>
                <w:rFonts w:hint="eastAsia" w:ascii="??_GB2312" w:hAnsi="宋体" w:eastAsia="Times New Roman"/>
                <w:bCs/>
                <w:sz w:val="18"/>
                <w:szCs w:val="18"/>
                <w:lang w:val="zh-CN"/>
              </w:rPr>
              <w:t>1．《国际贸易实务》（第六版）.黎孝先，王健主编.北京，对外经济贸易大学出版社，2016年1月；</w:t>
            </w:r>
          </w:p>
          <w:p>
            <w:pPr>
              <w:spacing w:line="240" w:lineRule="exact"/>
              <w:ind w:left="270" w:hanging="270" w:hangingChars="150"/>
              <w:jc w:val="left"/>
              <w:rPr>
                <w:rFonts w:ascii="??_GB2312" w:hAnsi="宋体" w:eastAsia="Times New Roman"/>
                <w:bCs/>
                <w:sz w:val="18"/>
                <w:szCs w:val="18"/>
                <w:lang w:val="zh-CN"/>
              </w:rPr>
            </w:pPr>
            <w:r>
              <w:rPr>
                <w:rFonts w:hint="eastAsia" w:ascii="??_GB2312" w:hAnsi="宋体" w:eastAsia="Times New Roman"/>
                <w:bCs/>
                <w:sz w:val="18"/>
                <w:szCs w:val="18"/>
                <w:lang w:val="zh-CN"/>
              </w:rPr>
              <w:t>2．《国际贸易实务》.刘畅，郑波，李佳诺主编.济南，山东大学出版社，2018年1月；</w:t>
            </w:r>
          </w:p>
          <w:p>
            <w:pPr>
              <w:spacing w:line="240" w:lineRule="exact"/>
              <w:ind w:left="270" w:hanging="270" w:hangingChars="150"/>
              <w:jc w:val="left"/>
              <w:rPr>
                <w:rFonts w:ascii="??_GB2312" w:hAnsi="宋体" w:eastAsia="Times New Roman"/>
                <w:bCs/>
                <w:sz w:val="18"/>
                <w:szCs w:val="18"/>
                <w:lang w:val="zh-CN"/>
              </w:rPr>
            </w:pPr>
            <w:r>
              <w:rPr>
                <w:rFonts w:hint="eastAsia" w:ascii="??_GB2312" w:hAnsi="宋体" w:eastAsia="Times New Roman"/>
                <w:bCs/>
                <w:sz w:val="18"/>
                <w:szCs w:val="18"/>
              </w:rPr>
              <w:t>3</w:t>
            </w:r>
            <w:r>
              <w:rPr>
                <w:rFonts w:hint="eastAsia" w:ascii="??_GB2312" w:hAnsi="宋体" w:eastAsia="Times New Roman"/>
                <w:bCs/>
                <w:sz w:val="18"/>
                <w:szCs w:val="18"/>
                <w:lang w:val="zh-CN"/>
              </w:rPr>
              <w:t>.《西方经济学（微观部分·第七版）》高鸿业主编，</w:t>
            </w:r>
            <w:r>
              <w:fldChar w:fldCharType="begin"/>
            </w:r>
            <w:r>
              <w:instrText xml:space="preserve"> HYPERLINK "https://book.jd.com/publish/%E4%B8%AD%E5%9B%BD%E4%BA%BA%E6%B0%91%E5%A4%A7%E5%AD%A6%E5%87%BA%E7%89%88%E7%A4%BE_1.html" \t "_blank" \o "中国人民大学出版社" </w:instrText>
            </w:r>
            <w:r>
              <w:fldChar w:fldCharType="separate"/>
            </w:r>
            <w:r>
              <w:rPr>
                <w:rFonts w:hint="eastAsia" w:ascii="??_GB2312" w:hAnsi="宋体" w:eastAsia="Times New Roman"/>
                <w:bCs/>
                <w:sz w:val="18"/>
                <w:szCs w:val="18"/>
                <w:lang w:val="zh-CN"/>
              </w:rPr>
              <w:t>中国人民大学出版社</w:t>
            </w:r>
            <w:r>
              <w:rPr>
                <w:rFonts w:hint="eastAsia" w:ascii="??_GB2312" w:hAnsi="宋体" w:eastAsia="Times New Roman"/>
                <w:bCs/>
                <w:sz w:val="18"/>
                <w:szCs w:val="18"/>
                <w:lang w:val="zh-CN"/>
              </w:rPr>
              <w:fldChar w:fldCharType="end"/>
            </w:r>
            <w:r>
              <w:rPr>
                <w:rFonts w:hint="eastAsia" w:ascii="??_GB2312" w:hAnsi="宋体" w:eastAsia="Times New Roman"/>
                <w:bCs/>
                <w:sz w:val="18"/>
                <w:szCs w:val="18"/>
                <w:lang w:val="zh-CN"/>
              </w:rPr>
              <w:t>，2018年1月；</w:t>
            </w:r>
          </w:p>
          <w:p>
            <w:pPr>
              <w:spacing w:line="240" w:lineRule="exact"/>
              <w:jc w:val="left"/>
              <w:rPr>
                <w:rFonts w:ascii="??_GB2312" w:hAnsi="宋体"/>
                <w:sz w:val="18"/>
                <w:szCs w:val="18"/>
              </w:rPr>
            </w:pPr>
            <w:r>
              <w:rPr>
                <w:rFonts w:hint="eastAsia" w:ascii="??_GB2312" w:hAnsi="宋体" w:eastAsia="Times New Roman"/>
                <w:bCs/>
                <w:sz w:val="18"/>
                <w:szCs w:val="18"/>
              </w:rPr>
              <w:t>4.</w:t>
            </w:r>
            <w:r>
              <w:rPr>
                <w:rFonts w:hint="eastAsia" w:ascii="??_GB2312" w:hAnsi="宋体" w:eastAsia="Times New Roman"/>
                <w:bCs/>
                <w:sz w:val="18"/>
                <w:szCs w:val="18"/>
                <w:lang w:val="zh-CN"/>
              </w:rPr>
              <w:t>《微观经济学》雷洪、梁衍开、付华英主编，中山大学出版社，2019年7月。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7" w:hRule="atLeast"/>
          <w:jc w:val="center"/>
        </w:trPr>
        <w:tc>
          <w:tcPr>
            <w:tcW w:w="1312" w:type="dxa"/>
            <w:vAlign w:val="center"/>
          </w:tcPr>
          <w:p>
            <w:pPr>
              <w:spacing w:line="240" w:lineRule="exact"/>
              <w:jc w:val="center"/>
              <w:rPr>
                <w:rFonts w:ascii="??_GB2312" w:hAnsi="宋体" w:eastAsia="Times New Roman"/>
                <w:bCs/>
                <w:sz w:val="18"/>
                <w:szCs w:val="18"/>
              </w:rPr>
            </w:pPr>
            <w:r>
              <w:rPr>
                <w:rFonts w:hint="eastAsia" w:ascii="??_GB2312" w:hAnsi="宋体" w:eastAsia="Times New Roman"/>
                <w:bCs/>
                <w:sz w:val="18"/>
                <w:szCs w:val="18"/>
              </w:rPr>
              <w:t>会计学</w:t>
            </w:r>
          </w:p>
        </w:tc>
        <w:tc>
          <w:tcPr>
            <w:tcW w:w="1000" w:type="dxa"/>
            <w:vAlign w:val="center"/>
          </w:tcPr>
          <w:p>
            <w:pPr>
              <w:spacing w:line="240" w:lineRule="exact"/>
              <w:rPr>
                <w:rFonts w:ascii="??_GB2312" w:hAnsi="宋体" w:eastAsia="Times New Roman"/>
                <w:sz w:val="18"/>
                <w:szCs w:val="18"/>
              </w:rPr>
            </w:pPr>
            <w:r>
              <w:rPr>
                <w:rFonts w:ascii="??_GB2312" w:hAnsi="宋体" w:eastAsia="Times New Roman"/>
                <w:sz w:val="18"/>
                <w:szCs w:val="18"/>
              </w:rPr>
              <w:t>1．政治理论</w:t>
            </w:r>
          </w:p>
          <w:p>
            <w:pPr>
              <w:spacing w:line="240" w:lineRule="exact"/>
              <w:rPr>
                <w:rFonts w:ascii="??_GB2312" w:hAnsi="宋体" w:eastAsia="Times New Roman"/>
                <w:sz w:val="18"/>
                <w:szCs w:val="18"/>
              </w:rPr>
            </w:pPr>
            <w:r>
              <w:rPr>
                <w:rFonts w:ascii="??_GB2312" w:hAnsi="宋体" w:eastAsia="Times New Roman"/>
                <w:sz w:val="18"/>
                <w:szCs w:val="18"/>
              </w:rPr>
              <w:t>2．英语</w:t>
            </w:r>
          </w:p>
          <w:p>
            <w:pPr>
              <w:spacing w:line="240" w:lineRule="exact"/>
              <w:rPr>
                <w:rFonts w:ascii="??_GB2312" w:hAnsi="宋体" w:eastAsia="Times New Roman"/>
                <w:sz w:val="18"/>
                <w:szCs w:val="18"/>
              </w:rPr>
            </w:pPr>
            <w:r>
              <w:rPr>
                <w:rFonts w:ascii="??_GB2312" w:hAnsi="宋体" w:eastAsia="Times New Roman"/>
                <w:sz w:val="18"/>
                <w:szCs w:val="18"/>
              </w:rPr>
              <w:t>3．</w:t>
            </w:r>
            <w:r>
              <w:rPr>
                <w:rFonts w:hint="eastAsia" w:ascii="??_GB2312" w:hAnsi="宋体"/>
                <w:sz w:val="18"/>
                <w:szCs w:val="18"/>
              </w:rPr>
              <w:t>管理</w:t>
            </w:r>
            <w:r>
              <w:rPr>
                <w:rFonts w:ascii="??_GB2312" w:hAnsi="宋体" w:eastAsia="Times New Roman"/>
                <w:sz w:val="18"/>
                <w:szCs w:val="18"/>
              </w:rPr>
              <w:t>学</w:t>
            </w:r>
          </w:p>
        </w:tc>
        <w:tc>
          <w:tcPr>
            <w:tcW w:w="1540" w:type="dxa"/>
            <w:vAlign w:val="center"/>
          </w:tcPr>
          <w:p>
            <w:pPr>
              <w:spacing w:line="240" w:lineRule="exact"/>
              <w:ind w:right="105" w:rightChars="50"/>
              <w:rPr>
                <w:rFonts w:ascii="Times New Roman" w:hAnsi="Times New Roman"/>
                <w:sz w:val="18"/>
                <w:szCs w:val="18"/>
              </w:rPr>
            </w:pPr>
            <w:r>
              <w:rPr>
                <w:rFonts w:ascii="Times New Roman" w:hAnsi="Times New Roman"/>
                <w:sz w:val="18"/>
                <w:szCs w:val="18"/>
              </w:rPr>
              <w:t>1</w:t>
            </w:r>
            <w:r>
              <w:rPr>
                <w:rFonts w:ascii="??_GB2312" w:hAnsi="宋体" w:eastAsia="Times New Roman"/>
                <w:sz w:val="18"/>
                <w:szCs w:val="18"/>
              </w:rPr>
              <w:t>．</w:t>
            </w:r>
            <w:r>
              <w:rPr>
                <w:rFonts w:ascii="Times New Roman" w:hAnsi="Times New Roman"/>
                <w:sz w:val="18"/>
                <w:szCs w:val="18"/>
              </w:rPr>
              <w:t>财务管理</w:t>
            </w:r>
          </w:p>
          <w:p>
            <w:pPr>
              <w:spacing w:line="240" w:lineRule="exact"/>
              <w:ind w:right="105" w:rightChars="50"/>
              <w:rPr>
                <w:rFonts w:ascii="??_GB2312" w:hAnsi="宋体"/>
                <w:sz w:val="18"/>
                <w:szCs w:val="18"/>
              </w:rPr>
            </w:pPr>
            <w:r>
              <w:rPr>
                <w:rFonts w:ascii="Times New Roman" w:hAnsi="Times New Roman"/>
                <w:sz w:val="18"/>
                <w:szCs w:val="18"/>
              </w:rPr>
              <w:t>2</w:t>
            </w:r>
            <w:r>
              <w:rPr>
                <w:rFonts w:ascii="??_GB2312" w:hAnsi="宋体" w:eastAsia="Times New Roman"/>
                <w:sz w:val="18"/>
                <w:szCs w:val="18"/>
              </w:rPr>
              <w:t>．</w:t>
            </w:r>
            <w:r>
              <w:rPr>
                <w:rFonts w:ascii="Times New Roman" w:hAnsi="Times New Roman"/>
                <w:sz w:val="18"/>
                <w:szCs w:val="18"/>
              </w:rPr>
              <w:t>会计学原理</w:t>
            </w:r>
          </w:p>
        </w:tc>
        <w:tc>
          <w:tcPr>
            <w:tcW w:w="6093" w:type="dxa"/>
            <w:vAlign w:val="center"/>
          </w:tcPr>
          <w:p>
            <w:pPr>
              <w:spacing w:line="240" w:lineRule="exact"/>
              <w:ind w:left="270" w:hanging="270" w:hangingChars="150"/>
              <w:jc w:val="left"/>
              <w:rPr>
                <w:rFonts w:ascii="??_GB2312" w:hAnsi="宋体" w:eastAsia="Times New Roman"/>
                <w:bCs/>
                <w:sz w:val="18"/>
                <w:szCs w:val="18"/>
              </w:rPr>
            </w:pPr>
            <w:r>
              <w:rPr>
                <w:rFonts w:hint="eastAsia" w:ascii="??_GB2312" w:hAnsi="宋体" w:eastAsia="Times New Roman"/>
                <w:bCs/>
                <w:sz w:val="18"/>
                <w:szCs w:val="18"/>
              </w:rPr>
              <w:t>1</w:t>
            </w:r>
            <w:r>
              <w:rPr>
                <w:rFonts w:hint="eastAsia" w:ascii="??_GB2312" w:hAnsi="宋体" w:eastAsia="Times New Roman"/>
                <w:bCs/>
                <w:sz w:val="18"/>
                <w:szCs w:val="18"/>
                <w:lang w:val="zh-CN"/>
              </w:rPr>
              <w:t>．</w:t>
            </w:r>
            <w:r>
              <w:rPr>
                <w:rFonts w:hint="eastAsia" w:ascii="??_GB2312" w:hAnsi="宋体" w:eastAsia="Times New Roman"/>
                <w:bCs/>
                <w:sz w:val="18"/>
                <w:szCs w:val="18"/>
              </w:rPr>
              <w:t>《初级会计学》（第10版），朱小平、周华、秦玉熙主编，中国人民大学出版社，2019年版；</w:t>
            </w:r>
          </w:p>
          <w:p>
            <w:pPr>
              <w:spacing w:line="240" w:lineRule="exact"/>
              <w:ind w:left="270" w:hanging="270" w:hangingChars="150"/>
              <w:jc w:val="left"/>
              <w:rPr>
                <w:rFonts w:ascii="??_GB2312" w:hAnsi="宋体" w:eastAsia="Times New Roman"/>
                <w:bCs/>
                <w:sz w:val="18"/>
                <w:szCs w:val="18"/>
              </w:rPr>
            </w:pPr>
            <w:r>
              <w:rPr>
                <w:rFonts w:hint="eastAsia" w:ascii="??_GB2312" w:hAnsi="宋体" w:eastAsia="Times New Roman"/>
                <w:bCs/>
                <w:sz w:val="18"/>
                <w:szCs w:val="18"/>
              </w:rPr>
              <w:t>2</w:t>
            </w:r>
            <w:r>
              <w:rPr>
                <w:rFonts w:hint="eastAsia" w:ascii="??_GB2312" w:hAnsi="宋体" w:eastAsia="Times New Roman"/>
                <w:bCs/>
                <w:sz w:val="18"/>
                <w:szCs w:val="18"/>
                <w:lang w:val="zh-CN"/>
              </w:rPr>
              <w:t>．</w:t>
            </w:r>
            <w:r>
              <w:rPr>
                <w:rFonts w:hint="eastAsia" w:ascii="??_GB2312" w:hAnsi="宋体" w:eastAsia="Times New Roman"/>
                <w:bCs/>
                <w:sz w:val="18"/>
                <w:szCs w:val="18"/>
              </w:rPr>
              <w:t>《会计基础》，中华会计网校主编，人民出版社，</w:t>
            </w:r>
            <w:r>
              <w:rPr>
                <w:rFonts w:hint="eastAsia" w:ascii="??_GB2312" w:hAnsi="宋体" w:eastAsia="Times New Roman"/>
                <w:bCs/>
                <w:sz w:val="18"/>
                <w:szCs w:val="18"/>
                <w:lang w:val="zh-CN"/>
              </w:rPr>
              <w:t>20</w:t>
            </w:r>
            <w:r>
              <w:rPr>
                <w:rFonts w:hint="eastAsia" w:ascii="??_GB2312" w:hAnsi="宋体" w:eastAsia="Times New Roman"/>
                <w:bCs/>
                <w:sz w:val="18"/>
                <w:szCs w:val="18"/>
              </w:rPr>
              <w:t>19</w:t>
            </w:r>
            <w:r>
              <w:rPr>
                <w:rFonts w:hint="eastAsia" w:ascii="??_GB2312" w:hAnsi="宋体" w:eastAsia="Times New Roman"/>
                <w:bCs/>
                <w:sz w:val="18"/>
                <w:szCs w:val="18"/>
                <w:lang w:val="zh-CN"/>
              </w:rPr>
              <w:t>年</w:t>
            </w:r>
            <w:r>
              <w:rPr>
                <w:rFonts w:hint="eastAsia" w:ascii="??_GB2312" w:hAnsi="宋体" w:eastAsia="Times New Roman"/>
                <w:bCs/>
                <w:sz w:val="18"/>
                <w:szCs w:val="18"/>
              </w:rPr>
              <w:t>版</w:t>
            </w:r>
            <w:r>
              <w:rPr>
                <w:rFonts w:hint="eastAsia" w:ascii="??_GB2312" w:hAnsi="宋体" w:eastAsia="Times New Roman"/>
                <w:bCs/>
                <w:sz w:val="18"/>
                <w:szCs w:val="18"/>
                <w:lang w:val="zh-CN"/>
              </w:rPr>
              <w:t>；</w:t>
            </w:r>
          </w:p>
          <w:p>
            <w:pPr>
              <w:spacing w:line="240" w:lineRule="exact"/>
              <w:ind w:left="270" w:hanging="270" w:hangingChars="150"/>
              <w:jc w:val="left"/>
              <w:rPr>
                <w:rFonts w:ascii="??_GB2312" w:hAnsi="宋体" w:eastAsia="Times New Roman"/>
                <w:bCs/>
                <w:sz w:val="18"/>
                <w:szCs w:val="18"/>
              </w:rPr>
            </w:pPr>
            <w:r>
              <w:rPr>
                <w:rFonts w:hint="eastAsia" w:ascii="??_GB2312" w:hAnsi="宋体" w:eastAsia="Times New Roman"/>
                <w:bCs/>
                <w:sz w:val="18"/>
                <w:szCs w:val="18"/>
              </w:rPr>
              <w:t>3</w:t>
            </w:r>
            <w:r>
              <w:rPr>
                <w:rFonts w:hint="eastAsia" w:ascii="??_GB2312" w:hAnsi="宋体" w:eastAsia="Times New Roman"/>
                <w:bCs/>
                <w:sz w:val="18"/>
                <w:szCs w:val="18"/>
                <w:lang w:val="zh-CN"/>
              </w:rPr>
              <w:t>．</w:t>
            </w:r>
            <w:r>
              <w:rPr>
                <w:rFonts w:hint="eastAsia" w:ascii="??_GB2312" w:hAnsi="宋体" w:eastAsia="Times New Roman"/>
                <w:bCs/>
                <w:sz w:val="18"/>
                <w:szCs w:val="18"/>
              </w:rPr>
              <w:t>《财务管理》（第五版），王化成等主编，中国人民大学出版社，2017年版；</w:t>
            </w:r>
          </w:p>
          <w:p>
            <w:pPr>
              <w:spacing w:line="240" w:lineRule="exact"/>
              <w:ind w:left="270" w:hanging="270" w:hangingChars="150"/>
              <w:jc w:val="left"/>
              <w:rPr>
                <w:rFonts w:hint="eastAsia" w:ascii="??_GB2312" w:hAnsi="宋体" w:eastAsiaTheme="minorEastAsia"/>
                <w:bCs/>
                <w:sz w:val="18"/>
                <w:szCs w:val="18"/>
              </w:rPr>
            </w:pPr>
            <w:r>
              <w:rPr>
                <w:rFonts w:hint="eastAsia" w:ascii="??_GB2312" w:hAnsi="宋体" w:eastAsia="Times New Roman"/>
                <w:bCs/>
                <w:sz w:val="18"/>
                <w:szCs w:val="18"/>
              </w:rPr>
              <w:t>4．《初级财务管理》（第一版），杨尚军主编，中国财政经济出版社，2018年版。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7" w:hRule="atLeast"/>
          <w:jc w:val="center"/>
        </w:trPr>
        <w:tc>
          <w:tcPr>
            <w:tcW w:w="1312" w:type="dxa"/>
            <w:vAlign w:val="center"/>
          </w:tcPr>
          <w:p>
            <w:pPr>
              <w:spacing w:line="240" w:lineRule="exact"/>
              <w:jc w:val="center"/>
              <w:rPr>
                <w:rFonts w:ascii="??_GB2312" w:hAnsi="宋体" w:eastAsia="Times New Roman"/>
                <w:bCs/>
                <w:sz w:val="18"/>
                <w:szCs w:val="18"/>
              </w:rPr>
            </w:pPr>
            <w:r>
              <w:rPr>
                <w:rFonts w:hint="eastAsia" w:ascii="??_GB2312" w:hAnsi="宋体" w:eastAsia="Times New Roman"/>
                <w:bCs/>
                <w:sz w:val="18"/>
                <w:szCs w:val="18"/>
              </w:rPr>
              <w:t>市场营销</w:t>
            </w:r>
          </w:p>
        </w:tc>
        <w:tc>
          <w:tcPr>
            <w:tcW w:w="1000" w:type="dxa"/>
            <w:vAlign w:val="center"/>
          </w:tcPr>
          <w:p>
            <w:pPr>
              <w:spacing w:line="240" w:lineRule="exact"/>
              <w:rPr>
                <w:rFonts w:ascii="??_GB2312" w:hAnsi="宋体" w:eastAsia="Times New Roman"/>
                <w:sz w:val="18"/>
                <w:szCs w:val="18"/>
              </w:rPr>
            </w:pPr>
            <w:r>
              <w:rPr>
                <w:rFonts w:ascii="??_GB2312" w:hAnsi="宋体" w:eastAsia="Times New Roman"/>
                <w:sz w:val="18"/>
                <w:szCs w:val="18"/>
              </w:rPr>
              <w:t>1．政治理论</w:t>
            </w:r>
          </w:p>
          <w:p>
            <w:pPr>
              <w:spacing w:line="240" w:lineRule="exact"/>
              <w:rPr>
                <w:rFonts w:ascii="??_GB2312" w:hAnsi="宋体" w:eastAsia="Times New Roman"/>
                <w:sz w:val="18"/>
                <w:szCs w:val="18"/>
              </w:rPr>
            </w:pPr>
            <w:r>
              <w:rPr>
                <w:rFonts w:ascii="??_GB2312" w:hAnsi="宋体" w:eastAsia="Times New Roman"/>
                <w:sz w:val="18"/>
                <w:szCs w:val="18"/>
              </w:rPr>
              <w:t>2．英语</w:t>
            </w:r>
          </w:p>
          <w:p>
            <w:pPr>
              <w:spacing w:line="240" w:lineRule="exact"/>
              <w:rPr>
                <w:rFonts w:ascii="??_GB2312" w:hAnsi="宋体" w:eastAsia="Times New Roman"/>
                <w:sz w:val="18"/>
                <w:szCs w:val="18"/>
              </w:rPr>
            </w:pPr>
            <w:r>
              <w:rPr>
                <w:rFonts w:ascii="??_GB2312" w:hAnsi="宋体" w:eastAsia="Times New Roman"/>
                <w:sz w:val="18"/>
                <w:szCs w:val="18"/>
              </w:rPr>
              <w:t>3．</w:t>
            </w:r>
            <w:r>
              <w:rPr>
                <w:rFonts w:hint="eastAsia" w:ascii="??_GB2312" w:hAnsi="宋体"/>
                <w:sz w:val="18"/>
                <w:szCs w:val="18"/>
              </w:rPr>
              <w:t>管理</w:t>
            </w:r>
            <w:r>
              <w:rPr>
                <w:rFonts w:ascii="??_GB2312" w:hAnsi="宋体" w:eastAsia="Times New Roman"/>
                <w:sz w:val="18"/>
                <w:szCs w:val="18"/>
              </w:rPr>
              <w:t>学</w:t>
            </w:r>
          </w:p>
        </w:tc>
        <w:tc>
          <w:tcPr>
            <w:tcW w:w="1540" w:type="dxa"/>
            <w:vAlign w:val="center"/>
          </w:tcPr>
          <w:p>
            <w:pPr>
              <w:spacing w:line="240" w:lineRule="exact"/>
              <w:ind w:right="105" w:rightChars="50"/>
              <w:rPr>
                <w:rFonts w:ascii="Times New Roman" w:hAnsi="Times New Roman"/>
                <w:sz w:val="18"/>
                <w:szCs w:val="18"/>
              </w:rPr>
            </w:pPr>
            <w:r>
              <w:rPr>
                <w:rFonts w:ascii="Times New Roman" w:hAnsi="Times New Roman"/>
                <w:sz w:val="18"/>
                <w:szCs w:val="18"/>
              </w:rPr>
              <w:t>1</w:t>
            </w:r>
            <w:r>
              <w:rPr>
                <w:rFonts w:ascii="??_GB2312" w:hAnsi="宋体" w:eastAsia="Times New Roman"/>
                <w:sz w:val="18"/>
                <w:szCs w:val="18"/>
              </w:rPr>
              <w:t>．</w:t>
            </w:r>
            <w:r>
              <w:rPr>
                <w:rFonts w:ascii="Times New Roman" w:hAnsi="Times New Roman"/>
                <w:sz w:val="18"/>
                <w:szCs w:val="18"/>
              </w:rPr>
              <w:t>市场营销学</w:t>
            </w:r>
          </w:p>
          <w:p>
            <w:pPr>
              <w:spacing w:line="240" w:lineRule="exact"/>
              <w:ind w:right="105" w:rightChars="50"/>
              <w:rPr>
                <w:rFonts w:ascii="??_GB2312" w:hAnsi="宋体"/>
                <w:sz w:val="18"/>
                <w:szCs w:val="18"/>
              </w:rPr>
            </w:pPr>
            <w:r>
              <w:rPr>
                <w:rFonts w:ascii="Times New Roman" w:hAnsi="Times New Roman"/>
                <w:sz w:val="18"/>
                <w:szCs w:val="18"/>
              </w:rPr>
              <w:t>2</w:t>
            </w:r>
            <w:r>
              <w:rPr>
                <w:rFonts w:ascii="??_GB2312" w:hAnsi="宋体" w:eastAsia="Times New Roman"/>
                <w:sz w:val="18"/>
                <w:szCs w:val="18"/>
              </w:rPr>
              <w:t>．</w:t>
            </w:r>
            <w:r>
              <w:rPr>
                <w:rFonts w:ascii="Times New Roman" w:hAnsi="Times New Roman"/>
                <w:sz w:val="18"/>
                <w:szCs w:val="18"/>
              </w:rPr>
              <w:t>消费者行为学</w:t>
            </w:r>
          </w:p>
        </w:tc>
        <w:tc>
          <w:tcPr>
            <w:tcW w:w="6093" w:type="dxa"/>
            <w:vAlign w:val="center"/>
          </w:tcPr>
          <w:p>
            <w:pPr>
              <w:spacing w:line="240" w:lineRule="exact"/>
              <w:ind w:left="270" w:hanging="270" w:hangingChars="150"/>
              <w:jc w:val="left"/>
              <w:rPr>
                <w:rFonts w:ascii="??_GB2312" w:hAnsi="宋体" w:eastAsia="Times New Roman"/>
                <w:bCs/>
                <w:sz w:val="18"/>
                <w:szCs w:val="18"/>
              </w:rPr>
            </w:pPr>
            <w:r>
              <w:rPr>
                <w:rFonts w:hint="eastAsia" w:ascii="??_GB2312" w:hAnsi="宋体" w:eastAsia="Times New Roman"/>
                <w:bCs/>
                <w:sz w:val="18"/>
                <w:szCs w:val="18"/>
              </w:rPr>
              <w:t>1</w:t>
            </w:r>
            <w:r>
              <w:rPr>
                <w:rFonts w:hint="eastAsia" w:ascii="??_GB2312" w:hAnsi="宋体" w:eastAsia="Times New Roman"/>
                <w:bCs/>
                <w:sz w:val="18"/>
                <w:szCs w:val="18"/>
                <w:lang w:val="zh-CN"/>
              </w:rPr>
              <w:t>．《</w:t>
            </w:r>
            <w:r>
              <w:rPr>
                <w:rFonts w:hint="eastAsia" w:ascii="??_GB2312" w:hAnsi="宋体" w:eastAsia="Times New Roman"/>
                <w:bCs/>
                <w:sz w:val="18"/>
                <w:szCs w:val="18"/>
              </w:rPr>
              <w:t>市场营销－互联网时代的营销创新》，孟韬编著，中国人民大学出版社，2018年1月；</w:t>
            </w:r>
          </w:p>
          <w:p>
            <w:pPr>
              <w:spacing w:line="240" w:lineRule="exact"/>
              <w:ind w:left="270" w:hanging="270" w:hangingChars="150"/>
              <w:jc w:val="left"/>
              <w:rPr>
                <w:rFonts w:ascii="??_GB2312" w:hAnsi="宋体" w:eastAsia="Times New Roman"/>
                <w:bCs/>
                <w:sz w:val="18"/>
                <w:szCs w:val="18"/>
                <w:lang w:val="zh-CN"/>
              </w:rPr>
            </w:pPr>
            <w:r>
              <w:rPr>
                <w:rFonts w:hint="eastAsia" w:ascii="??_GB2312" w:hAnsi="宋体" w:eastAsia="Times New Roman"/>
                <w:bCs/>
                <w:sz w:val="18"/>
                <w:szCs w:val="18"/>
              </w:rPr>
              <w:t>2</w:t>
            </w:r>
            <w:r>
              <w:rPr>
                <w:rFonts w:hint="eastAsia" w:ascii="??_GB2312" w:hAnsi="宋体" w:eastAsia="Times New Roman"/>
                <w:bCs/>
                <w:sz w:val="18"/>
                <w:szCs w:val="18"/>
                <w:lang w:val="zh-CN"/>
              </w:rPr>
              <w:t>．《市场营销学概论》（第3版），郭国庆等编著.北京：高等教育出版社，2018年</w:t>
            </w:r>
            <w:r>
              <w:rPr>
                <w:rFonts w:hint="eastAsia" w:ascii="??_GB2312" w:hAnsi="宋体" w:eastAsia="Times New Roman"/>
                <w:bCs/>
                <w:sz w:val="18"/>
                <w:szCs w:val="18"/>
              </w:rPr>
              <w:t>4月；</w:t>
            </w:r>
          </w:p>
          <w:p>
            <w:pPr>
              <w:spacing w:line="240" w:lineRule="exact"/>
              <w:ind w:left="270" w:hanging="270" w:hangingChars="150"/>
              <w:jc w:val="left"/>
              <w:rPr>
                <w:rFonts w:ascii="??_GB2312" w:hAnsi="宋体" w:eastAsia="Times New Roman"/>
                <w:bCs/>
                <w:sz w:val="18"/>
                <w:szCs w:val="18"/>
                <w:lang w:val="zh-CN"/>
              </w:rPr>
            </w:pPr>
            <w:r>
              <w:rPr>
                <w:rFonts w:hint="eastAsia" w:ascii="??_GB2312" w:hAnsi="宋体" w:eastAsia="Times New Roman"/>
                <w:bCs/>
                <w:sz w:val="18"/>
                <w:szCs w:val="18"/>
              </w:rPr>
              <w:t>3</w:t>
            </w:r>
            <w:r>
              <w:rPr>
                <w:rFonts w:hint="eastAsia" w:ascii="??_GB2312" w:hAnsi="宋体" w:eastAsia="Times New Roman"/>
                <w:bCs/>
                <w:sz w:val="18"/>
                <w:szCs w:val="18"/>
                <w:lang w:val="zh-CN"/>
              </w:rPr>
              <w:t>．《消费者行为学》. 宋晓华、理阳阳、虎啸主编. 山东大学出版社，2018年；</w:t>
            </w:r>
          </w:p>
          <w:p>
            <w:pPr>
              <w:spacing w:line="240" w:lineRule="exact"/>
              <w:ind w:left="270" w:hanging="270" w:hangingChars="150"/>
              <w:jc w:val="left"/>
              <w:rPr>
                <w:rFonts w:ascii="??_GB2312" w:hAnsi="宋体" w:eastAsia="Times New Roman"/>
                <w:bCs/>
                <w:sz w:val="18"/>
                <w:szCs w:val="18"/>
              </w:rPr>
            </w:pPr>
            <w:r>
              <w:rPr>
                <w:rFonts w:hint="eastAsia" w:ascii="??_GB2312" w:hAnsi="宋体" w:eastAsia="Times New Roman"/>
                <w:bCs/>
                <w:sz w:val="18"/>
                <w:szCs w:val="18"/>
              </w:rPr>
              <w:t>4</w:t>
            </w:r>
            <w:r>
              <w:rPr>
                <w:rFonts w:hint="eastAsia" w:ascii="??_GB2312" w:hAnsi="宋体" w:eastAsia="Times New Roman"/>
                <w:bCs/>
                <w:sz w:val="18"/>
                <w:szCs w:val="18"/>
                <w:lang w:val="zh-CN"/>
              </w:rPr>
              <w:t>．《消费者行为学》. 汤杰、高延鹏主编. 哈尔滨工业大学出版社，2012年。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7" w:hRule="atLeast"/>
          <w:jc w:val="center"/>
        </w:trPr>
        <w:tc>
          <w:tcPr>
            <w:tcW w:w="1312" w:type="dxa"/>
            <w:vAlign w:val="center"/>
          </w:tcPr>
          <w:p>
            <w:pPr>
              <w:spacing w:line="240" w:lineRule="exact"/>
              <w:jc w:val="center"/>
              <w:rPr>
                <w:rFonts w:ascii="??_GB2312" w:hAnsi="宋体" w:eastAsia="Times New Roman"/>
                <w:bCs/>
                <w:sz w:val="18"/>
                <w:szCs w:val="18"/>
              </w:rPr>
            </w:pPr>
            <w:r>
              <w:rPr>
                <w:rFonts w:hint="eastAsia" w:ascii="??_GB2312" w:hAnsi="宋体" w:eastAsia="Times New Roman"/>
                <w:bCs/>
                <w:sz w:val="18"/>
                <w:szCs w:val="18"/>
              </w:rPr>
              <w:t>数学与应用数学（师范）</w:t>
            </w:r>
          </w:p>
        </w:tc>
        <w:tc>
          <w:tcPr>
            <w:tcW w:w="1000" w:type="dxa"/>
            <w:vAlign w:val="center"/>
          </w:tcPr>
          <w:p>
            <w:pPr>
              <w:spacing w:line="240" w:lineRule="exact"/>
              <w:rPr>
                <w:rFonts w:ascii="??_GB2312" w:hAnsi="宋体" w:eastAsia="Times New Roman"/>
                <w:sz w:val="18"/>
                <w:szCs w:val="18"/>
              </w:rPr>
            </w:pPr>
            <w:r>
              <w:rPr>
                <w:rFonts w:ascii="??_GB2312" w:hAnsi="宋体" w:eastAsia="Times New Roman"/>
                <w:sz w:val="18"/>
                <w:szCs w:val="18"/>
              </w:rPr>
              <w:t>1．政治理论</w:t>
            </w:r>
          </w:p>
          <w:p>
            <w:pPr>
              <w:spacing w:line="240" w:lineRule="exact"/>
              <w:rPr>
                <w:rFonts w:ascii="??_GB2312" w:hAnsi="宋体" w:eastAsia="Times New Roman"/>
                <w:sz w:val="18"/>
                <w:szCs w:val="18"/>
              </w:rPr>
            </w:pPr>
            <w:r>
              <w:rPr>
                <w:rFonts w:ascii="??_GB2312" w:hAnsi="宋体" w:eastAsia="Times New Roman"/>
                <w:sz w:val="18"/>
                <w:szCs w:val="18"/>
              </w:rPr>
              <w:t>2．英语</w:t>
            </w:r>
          </w:p>
          <w:p>
            <w:pPr>
              <w:spacing w:line="240" w:lineRule="exact"/>
              <w:rPr>
                <w:rFonts w:ascii="??_GB2312" w:hAnsi="宋体" w:eastAsia="Times New Roman"/>
                <w:sz w:val="18"/>
                <w:szCs w:val="18"/>
              </w:rPr>
            </w:pPr>
            <w:r>
              <w:rPr>
                <w:rFonts w:ascii="??_GB2312" w:hAnsi="宋体" w:eastAsia="Times New Roman"/>
                <w:sz w:val="18"/>
                <w:szCs w:val="18"/>
              </w:rPr>
              <w:t>3．高等数学</w:t>
            </w:r>
          </w:p>
        </w:tc>
        <w:tc>
          <w:tcPr>
            <w:tcW w:w="1540" w:type="dxa"/>
            <w:vAlign w:val="center"/>
          </w:tcPr>
          <w:p>
            <w:pPr>
              <w:spacing w:line="240" w:lineRule="exact"/>
              <w:ind w:left="270" w:hanging="270" w:hangingChars="150"/>
              <w:jc w:val="left"/>
              <w:rPr>
                <w:rFonts w:ascii="??_GB2312" w:hAnsi="宋体" w:eastAsia="Times New Roman"/>
                <w:bCs/>
                <w:sz w:val="18"/>
                <w:szCs w:val="18"/>
              </w:rPr>
            </w:pPr>
            <w:r>
              <w:rPr>
                <w:rFonts w:ascii="??_GB2312" w:hAnsi="宋体" w:eastAsia="Times New Roman"/>
                <w:bCs/>
                <w:sz w:val="18"/>
                <w:szCs w:val="18"/>
              </w:rPr>
              <w:t>1</w:t>
            </w:r>
            <w:r>
              <w:rPr>
                <w:rFonts w:hint="eastAsia" w:ascii="??_GB2312" w:hAnsi="宋体" w:eastAsia="Times New Roman"/>
                <w:bCs/>
                <w:sz w:val="18"/>
                <w:szCs w:val="18"/>
              </w:rPr>
              <w:t>．</w:t>
            </w:r>
            <w:r>
              <w:rPr>
                <w:rFonts w:ascii="??_GB2312" w:hAnsi="宋体" w:eastAsia="Times New Roman"/>
                <w:bCs/>
                <w:sz w:val="18"/>
                <w:szCs w:val="18"/>
              </w:rPr>
              <w:t>数学分析</w:t>
            </w:r>
          </w:p>
          <w:p>
            <w:pPr>
              <w:spacing w:line="240" w:lineRule="exact"/>
              <w:ind w:left="270" w:hanging="270" w:hangingChars="150"/>
              <w:jc w:val="left"/>
              <w:rPr>
                <w:rFonts w:ascii="??_GB2312" w:hAnsi="宋体" w:eastAsia="Times New Roman"/>
                <w:bCs/>
                <w:sz w:val="18"/>
                <w:szCs w:val="18"/>
              </w:rPr>
            </w:pPr>
            <w:r>
              <w:rPr>
                <w:rFonts w:ascii="??_GB2312" w:hAnsi="宋体" w:eastAsia="Times New Roman"/>
                <w:bCs/>
                <w:sz w:val="18"/>
                <w:szCs w:val="18"/>
              </w:rPr>
              <w:t>2</w:t>
            </w:r>
            <w:r>
              <w:rPr>
                <w:rFonts w:hint="eastAsia" w:ascii="??_GB2312" w:hAnsi="宋体" w:eastAsia="Times New Roman"/>
                <w:bCs/>
                <w:sz w:val="18"/>
                <w:szCs w:val="18"/>
              </w:rPr>
              <w:t>．</w:t>
            </w:r>
            <w:r>
              <w:rPr>
                <w:rFonts w:ascii="??_GB2312" w:hAnsi="宋体" w:eastAsia="Times New Roman"/>
                <w:bCs/>
                <w:sz w:val="18"/>
                <w:szCs w:val="18"/>
              </w:rPr>
              <w:t>高等代数</w:t>
            </w:r>
          </w:p>
        </w:tc>
        <w:tc>
          <w:tcPr>
            <w:tcW w:w="6093" w:type="dxa"/>
            <w:vAlign w:val="center"/>
          </w:tcPr>
          <w:p>
            <w:pPr>
              <w:spacing w:line="240" w:lineRule="exact"/>
              <w:ind w:left="270" w:hanging="270" w:hangingChars="150"/>
              <w:jc w:val="left"/>
              <w:rPr>
                <w:rFonts w:ascii="??_GB2312" w:hAnsi="宋体" w:eastAsia="Times New Roman"/>
                <w:bCs/>
                <w:sz w:val="18"/>
                <w:szCs w:val="18"/>
              </w:rPr>
            </w:pPr>
            <w:r>
              <w:rPr>
                <w:rFonts w:hint="eastAsia" w:ascii="??_GB2312" w:hAnsi="宋体" w:eastAsia="Times New Roman"/>
                <w:bCs/>
                <w:sz w:val="18"/>
                <w:szCs w:val="18"/>
              </w:rPr>
              <w:t>1．《数学分析》（上、下册）（第四版），华东师范大学数学系主编，高等教育出版社， 2010年6月；</w:t>
            </w:r>
          </w:p>
          <w:p>
            <w:pPr>
              <w:spacing w:line="240" w:lineRule="exact"/>
              <w:ind w:left="270" w:hanging="270" w:hangingChars="150"/>
              <w:jc w:val="left"/>
              <w:rPr>
                <w:rFonts w:ascii="??_GB2312" w:hAnsi="宋体" w:eastAsia="Times New Roman"/>
                <w:bCs/>
                <w:sz w:val="18"/>
                <w:szCs w:val="18"/>
              </w:rPr>
            </w:pPr>
            <w:r>
              <w:rPr>
                <w:rFonts w:hint="eastAsia" w:ascii="??_GB2312" w:hAnsi="宋体" w:eastAsia="Times New Roman"/>
                <w:bCs/>
                <w:sz w:val="18"/>
                <w:szCs w:val="18"/>
              </w:rPr>
              <w:t>2．《高等代数》（第四版），北京大学数学系主编，高等教育出版社，2013年8月。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7" w:hRule="atLeast"/>
          <w:jc w:val="center"/>
        </w:trPr>
        <w:tc>
          <w:tcPr>
            <w:tcW w:w="1312" w:type="dxa"/>
            <w:vAlign w:val="center"/>
          </w:tcPr>
          <w:p>
            <w:pPr>
              <w:spacing w:line="240" w:lineRule="exact"/>
              <w:jc w:val="center"/>
              <w:rPr>
                <w:rFonts w:ascii="??_GB2312" w:hAnsi="宋体" w:eastAsia="Times New Roman"/>
                <w:bCs/>
                <w:sz w:val="18"/>
                <w:szCs w:val="18"/>
              </w:rPr>
            </w:pPr>
            <w:r>
              <w:rPr>
                <w:rFonts w:hint="eastAsia" w:ascii="??_GB2312" w:hAnsi="宋体" w:eastAsia="Times New Roman"/>
                <w:bCs/>
                <w:sz w:val="18"/>
                <w:szCs w:val="18"/>
              </w:rPr>
              <w:t>计算机科学与技术（师范）</w:t>
            </w:r>
          </w:p>
        </w:tc>
        <w:tc>
          <w:tcPr>
            <w:tcW w:w="1000" w:type="dxa"/>
            <w:vAlign w:val="center"/>
          </w:tcPr>
          <w:p>
            <w:pPr>
              <w:spacing w:line="240" w:lineRule="exact"/>
              <w:rPr>
                <w:rFonts w:ascii="??_GB2312" w:hAnsi="宋体" w:eastAsia="Times New Roman"/>
                <w:sz w:val="18"/>
                <w:szCs w:val="18"/>
              </w:rPr>
            </w:pPr>
            <w:r>
              <w:rPr>
                <w:rFonts w:ascii="??_GB2312" w:hAnsi="宋体" w:eastAsia="Times New Roman"/>
                <w:sz w:val="18"/>
                <w:szCs w:val="18"/>
              </w:rPr>
              <w:t>1．政治理论</w:t>
            </w:r>
          </w:p>
          <w:p>
            <w:pPr>
              <w:spacing w:line="240" w:lineRule="exact"/>
              <w:rPr>
                <w:rFonts w:ascii="??_GB2312" w:hAnsi="宋体" w:eastAsia="Times New Roman"/>
                <w:sz w:val="18"/>
                <w:szCs w:val="18"/>
              </w:rPr>
            </w:pPr>
            <w:r>
              <w:rPr>
                <w:rFonts w:ascii="??_GB2312" w:hAnsi="宋体" w:eastAsia="Times New Roman"/>
                <w:sz w:val="18"/>
                <w:szCs w:val="18"/>
              </w:rPr>
              <w:t>2．英语</w:t>
            </w:r>
          </w:p>
          <w:p>
            <w:pPr>
              <w:spacing w:line="240" w:lineRule="exact"/>
              <w:rPr>
                <w:rFonts w:ascii="??_GB2312" w:hAnsi="宋体" w:eastAsia="Times New Roman"/>
                <w:sz w:val="18"/>
                <w:szCs w:val="18"/>
              </w:rPr>
            </w:pPr>
            <w:r>
              <w:rPr>
                <w:rFonts w:ascii="??_GB2312" w:hAnsi="宋体" w:eastAsia="Times New Roman"/>
                <w:sz w:val="18"/>
                <w:szCs w:val="18"/>
              </w:rPr>
              <w:t>3．高等数学</w:t>
            </w:r>
          </w:p>
        </w:tc>
        <w:tc>
          <w:tcPr>
            <w:tcW w:w="1540" w:type="dxa"/>
            <w:vAlign w:val="center"/>
          </w:tcPr>
          <w:p>
            <w:pPr>
              <w:spacing w:line="240" w:lineRule="exact"/>
              <w:ind w:right="105" w:rightChars="50"/>
              <w:rPr>
                <w:rFonts w:ascii="Times New Roman" w:hAnsi="Times New Roman"/>
                <w:sz w:val="18"/>
                <w:szCs w:val="18"/>
              </w:rPr>
            </w:pPr>
            <w:r>
              <w:rPr>
                <w:rFonts w:ascii="Times New Roman" w:hAnsi="Times New Roman"/>
                <w:sz w:val="18"/>
                <w:szCs w:val="18"/>
              </w:rPr>
              <w:t>1</w:t>
            </w:r>
            <w:r>
              <w:rPr>
                <w:rFonts w:ascii="??_GB2312" w:hAnsi="宋体" w:eastAsia="Times New Roman"/>
                <w:sz w:val="18"/>
                <w:szCs w:val="18"/>
              </w:rPr>
              <w:t>．</w:t>
            </w:r>
            <w:r>
              <w:rPr>
                <w:rFonts w:ascii="Times New Roman" w:hAnsi="Times New Roman"/>
                <w:sz w:val="18"/>
                <w:szCs w:val="18"/>
              </w:rPr>
              <w:t>C语言程序设计</w:t>
            </w:r>
          </w:p>
          <w:p>
            <w:pPr>
              <w:spacing w:line="240" w:lineRule="exact"/>
              <w:ind w:right="105" w:rightChars="50"/>
              <w:rPr>
                <w:rFonts w:ascii="??_GB2312" w:hAnsi="宋体"/>
                <w:sz w:val="18"/>
                <w:szCs w:val="18"/>
              </w:rPr>
            </w:pPr>
            <w:r>
              <w:rPr>
                <w:rFonts w:ascii="Times New Roman" w:hAnsi="Times New Roman"/>
                <w:sz w:val="18"/>
                <w:szCs w:val="18"/>
              </w:rPr>
              <w:t>2</w:t>
            </w:r>
            <w:r>
              <w:rPr>
                <w:rFonts w:ascii="??_GB2312" w:hAnsi="宋体" w:eastAsia="Times New Roman"/>
                <w:sz w:val="18"/>
                <w:szCs w:val="18"/>
              </w:rPr>
              <w:t>．</w:t>
            </w:r>
            <w:r>
              <w:rPr>
                <w:rFonts w:ascii="Times New Roman" w:hAnsi="Times New Roman"/>
                <w:sz w:val="18"/>
                <w:szCs w:val="18"/>
              </w:rPr>
              <w:t>数据结构</w:t>
            </w:r>
          </w:p>
        </w:tc>
        <w:tc>
          <w:tcPr>
            <w:tcW w:w="6093" w:type="dxa"/>
            <w:vAlign w:val="center"/>
          </w:tcPr>
          <w:p>
            <w:pPr>
              <w:spacing w:line="240" w:lineRule="exact"/>
              <w:ind w:left="270" w:hanging="270" w:hangingChars="150"/>
              <w:jc w:val="left"/>
              <w:rPr>
                <w:rFonts w:ascii="??_GB2312" w:hAnsi="宋体" w:eastAsia="Times New Roman"/>
                <w:bCs/>
                <w:sz w:val="18"/>
                <w:szCs w:val="18"/>
                <w:lang w:val="en-GB"/>
              </w:rPr>
            </w:pPr>
            <w:r>
              <w:rPr>
                <w:rFonts w:hint="eastAsia" w:ascii="??_GB2312" w:hAnsi="宋体" w:eastAsia="Times New Roman"/>
                <w:bCs/>
                <w:sz w:val="18"/>
                <w:szCs w:val="18"/>
                <w:lang w:val="en-GB"/>
              </w:rPr>
              <w:t>1</w:t>
            </w:r>
            <w:r>
              <w:rPr>
                <w:rFonts w:hint="eastAsia" w:ascii="??_GB2312" w:hAnsi="宋体" w:eastAsia="Times New Roman"/>
                <w:bCs/>
                <w:sz w:val="18"/>
                <w:szCs w:val="18"/>
              </w:rPr>
              <w:t>．</w:t>
            </w:r>
            <w:r>
              <w:rPr>
                <w:rFonts w:hint="eastAsia" w:ascii="??_GB2312" w:hAnsi="宋体" w:eastAsia="Times New Roman"/>
                <w:bCs/>
                <w:sz w:val="18"/>
                <w:szCs w:val="18"/>
                <w:lang w:val="en-GB"/>
              </w:rPr>
              <w:t>《C语言程序设计》（第三版），何钦铭、颜晖主编，北京，高等教育出版社，2015年；</w:t>
            </w:r>
          </w:p>
          <w:p>
            <w:pPr>
              <w:spacing w:line="240" w:lineRule="exact"/>
              <w:ind w:left="270" w:hanging="270" w:hangingChars="150"/>
              <w:jc w:val="left"/>
              <w:rPr>
                <w:rFonts w:ascii="??_GB2312" w:hAnsi="宋体" w:eastAsia="Times New Roman"/>
                <w:bCs/>
                <w:sz w:val="18"/>
                <w:szCs w:val="18"/>
                <w:lang w:val="en-GB"/>
              </w:rPr>
            </w:pPr>
            <w:r>
              <w:rPr>
                <w:rFonts w:hint="eastAsia" w:ascii="??_GB2312" w:hAnsi="宋体" w:eastAsia="Times New Roman"/>
                <w:bCs/>
                <w:sz w:val="18"/>
                <w:szCs w:val="18"/>
                <w:lang w:val="en-GB"/>
              </w:rPr>
              <w:t>2</w:t>
            </w:r>
            <w:r>
              <w:rPr>
                <w:rFonts w:hint="eastAsia" w:ascii="??_GB2312" w:hAnsi="宋体" w:eastAsia="Times New Roman"/>
                <w:bCs/>
                <w:sz w:val="18"/>
                <w:szCs w:val="18"/>
              </w:rPr>
              <w:t>．</w:t>
            </w:r>
            <w:r>
              <w:rPr>
                <w:rFonts w:hint="eastAsia" w:ascii="??_GB2312" w:hAnsi="宋体" w:eastAsia="Times New Roman"/>
                <w:bCs/>
                <w:sz w:val="18"/>
                <w:szCs w:val="18"/>
                <w:lang w:val="en-GB"/>
              </w:rPr>
              <w:t>《C程序设计》（第三版），谭浩强著，北京，清华大学出版社，2005年；</w:t>
            </w:r>
          </w:p>
          <w:p>
            <w:pPr>
              <w:spacing w:line="240" w:lineRule="exact"/>
              <w:ind w:left="270" w:hanging="270" w:hangingChars="150"/>
              <w:jc w:val="left"/>
              <w:rPr>
                <w:rFonts w:ascii="??_GB2312" w:hAnsi="宋体" w:eastAsia="Times New Roman"/>
                <w:bCs/>
                <w:sz w:val="18"/>
                <w:szCs w:val="18"/>
              </w:rPr>
            </w:pPr>
            <w:r>
              <w:rPr>
                <w:rFonts w:hint="eastAsia" w:ascii="??_GB2312" w:hAnsi="宋体" w:eastAsia="Times New Roman"/>
                <w:bCs/>
                <w:sz w:val="18"/>
                <w:szCs w:val="18"/>
              </w:rPr>
              <w:t>3．《数据结构:C语言版》（第2版），严蔚敏、李冬梅等编著，北京:人民邮电出版社，2015年2月；</w:t>
            </w:r>
          </w:p>
          <w:p>
            <w:pPr>
              <w:spacing w:line="240" w:lineRule="exact"/>
              <w:ind w:left="270" w:hanging="270" w:hangingChars="150"/>
              <w:jc w:val="left"/>
              <w:rPr>
                <w:rFonts w:ascii="??_GB2312" w:hAnsi="宋体"/>
                <w:sz w:val="18"/>
                <w:szCs w:val="18"/>
              </w:rPr>
            </w:pPr>
            <w:r>
              <w:rPr>
                <w:rFonts w:hint="eastAsia" w:ascii="??_GB2312" w:hAnsi="宋体" w:eastAsia="Times New Roman"/>
                <w:bCs/>
                <w:sz w:val="18"/>
                <w:szCs w:val="18"/>
              </w:rPr>
              <w:t>4．《数据结构习题解析与实验指导》，李冬梅、张琪编著，北京:人民邮电出版社，2017年8月。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7" w:hRule="atLeast"/>
          <w:jc w:val="center"/>
        </w:trPr>
        <w:tc>
          <w:tcPr>
            <w:tcW w:w="1312" w:type="dxa"/>
            <w:vAlign w:val="center"/>
          </w:tcPr>
          <w:p>
            <w:pPr>
              <w:spacing w:line="240" w:lineRule="exact"/>
              <w:jc w:val="center"/>
              <w:rPr>
                <w:rFonts w:ascii="??_GB2312" w:hAnsi="宋体" w:eastAsia="Times New Roman"/>
                <w:bCs/>
                <w:sz w:val="18"/>
                <w:szCs w:val="18"/>
              </w:rPr>
            </w:pPr>
            <w:r>
              <w:rPr>
                <w:rFonts w:hint="eastAsia" w:ascii="??_GB2312" w:hAnsi="宋体" w:eastAsia="Times New Roman"/>
                <w:bCs/>
                <w:sz w:val="18"/>
                <w:szCs w:val="18"/>
              </w:rPr>
              <w:t>环境工程</w:t>
            </w:r>
          </w:p>
        </w:tc>
        <w:tc>
          <w:tcPr>
            <w:tcW w:w="1000" w:type="dxa"/>
            <w:vAlign w:val="center"/>
          </w:tcPr>
          <w:p>
            <w:pPr>
              <w:spacing w:line="240" w:lineRule="exact"/>
              <w:rPr>
                <w:rFonts w:ascii="??_GB2312" w:hAnsi="宋体" w:eastAsia="Times New Roman"/>
                <w:sz w:val="18"/>
                <w:szCs w:val="18"/>
              </w:rPr>
            </w:pPr>
            <w:r>
              <w:rPr>
                <w:rFonts w:ascii="??_GB2312" w:hAnsi="宋体" w:eastAsia="Times New Roman"/>
                <w:sz w:val="18"/>
                <w:szCs w:val="18"/>
              </w:rPr>
              <w:t>1．政治理论</w:t>
            </w:r>
          </w:p>
          <w:p>
            <w:pPr>
              <w:spacing w:line="240" w:lineRule="exact"/>
              <w:rPr>
                <w:rFonts w:ascii="??_GB2312" w:hAnsi="宋体" w:eastAsia="Times New Roman"/>
                <w:sz w:val="18"/>
                <w:szCs w:val="18"/>
              </w:rPr>
            </w:pPr>
            <w:r>
              <w:rPr>
                <w:rFonts w:ascii="??_GB2312" w:hAnsi="宋体" w:eastAsia="Times New Roman"/>
                <w:sz w:val="18"/>
                <w:szCs w:val="18"/>
              </w:rPr>
              <w:t>2．英语</w:t>
            </w:r>
          </w:p>
          <w:p>
            <w:pPr>
              <w:spacing w:line="240" w:lineRule="exact"/>
              <w:rPr>
                <w:rFonts w:ascii="??_GB2312" w:hAnsi="宋体" w:eastAsia="Times New Roman"/>
                <w:sz w:val="18"/>
                <w:szCs w:val="18"/>
              </w:rPr>
            </w:pPr>
            <w:r>
              <w:rPr>
                <w:rFonts w:ascii="??_GB2312" w:hAnsi="宋体" w:eastAsia="Times New Roman"/>
                <w:sz w:val="18"/>
                <w:szCs w:val="18"/>
              </w:rPr>
              <w:t>3．高等数学</w:t>
            </w:r>
          </w:p>
        </w:tc>
        <w:tc>
          <w:tcPr>
            <w:tcW w:w="1540" w:type="dxa"/>
            <w:vAlign w:val="center"/>
          </w:tcPr>
          <w:p>
            <w:pPr>
              <w:spacing w:line="240" w:lineRule="exact"/>
              <w:ind w:right="105" w:rightChars="50"/>
              <w:rPr>
                <w:rFonts w:ascii="Times New Roman" w:hAnsi="Times New Roman"/>
                <w:sz w:val="18"/>
                <w:szCs w:val="18"/>
              </w:rPr>
            </w:pPr>
            <w:r>
              <w:rPr>
                <w:rFonts w:ascii="Times New Roman" w:hAnsi="Times New Roman"/>
                <w:sz w:val="18"/>
                <w:szCs w:val="18"/>
              </w:rPr>
              <w:t>1</w:t>
            </w:r>
            <w:r>
              <w:rPr>
                <w:rFonts w:ascii="??_GB2312" w:hAnsi="宋体" w:eastAsia="Times New Roman"/>
                <w:sz w:val="18"/>
                <w:szCs w:val="18"/>
              </w:rPr>
              <w:t>．</w:t>
            </w:r>
            <w:r>
              <w:rPr>
                <w:rFonts w:ascii="Times New Roman" w:hAnsi="Times New Roman"/>
                <w:sz w:val="18"/>
                <w:szCs w:val="18"/>
              </w:rPr>
              <w:t>环境工程导论</w:t>
            </w:r>
          </w:p>
          <w:p>
            <w:pPr>
              <w:spacing w:line="240" w:lineRule="exact"/>
              <w:ind w:right="105" w:rightChars="50"/>
              <w:rPr>
                <w:rFonts w:ascii="??_GB2312" w:hAnsi="宋体"/>
                <w:sz w:val="18"/>
                <w:szCs w:val="18"/>
              </w:rPr>
            </w:pPr>
            <w:r>
              <w:rPr>
                <w:rFonts w:ascii="Times New Roman" w:hAnsi="Times New Roman"/>
                <w:sz w:val="18"/>
                <w:szCs w:val="18"/>
              </w:rPr>
              <w:t>2</w:t>
            </w:r>
            <w:r>
              <w:rPr>
                <w:rFonts w:ascii="??_GB2312" w:hAnsi="宋体" w:eastAsia="Times New Roman"/>
                <w:sz w:val="18"/>
                <w:szCs w:val="18"/>
              </w:rPr>
              <w:t>．</w:t>
            </w:r>
            <w:r>
              <w:rPr>
                <w:rFonts w:ascii="Times New Roman" w:hAnsi="Times New Roman"/>
                <w:sz w:val="18"/>
                <w:szCs w:val="18"/>
              </w:rPr>
              <w:t>环境化学</w:t>
            </w:r>
          </w:p>
        </w:tc>
        <w:tc>
          <w:tcPr>
            <w:tcW w:w="6093" w:type="dxa"/>
            <w:vAlign w:val="center"/>
          </w:tcPr>
          <w:p>
            <w:pPr>
              <w:spacing w:line="240" w:lineRule="exact"/>
              <w:ind w:left="270" w:hanging="270" w:hangingChars="150"/>
              <w:jc w:val="left"/>
              <w:rPr>
                <w:rFonts w:ascii="??_GB2312" w:hAnsi="宋体" w:eastAsia="Times New Roman"/>
                <w:bCs/>
                <w:sz w:val="18"/>
                <w:szCs w:val="18"/>
              </w:rPr>
            </w:pPr>
            <w:r>
              <w:rPr>
                <w:rFonts w:hint="eastAsia" w:ascii="??_GB2312" w:hAnsi="宋体" w:eastAsia="Times New Roman"/>
                <w:bCs/>
                <w:sz w:val="18"/>
                <w:szCs w:val="18"/>
              </w:rPr>
              <w:t>1．《环境工程概论》（第四版），朱蓓丽、程秀莲、黄修长编，科学出版社，2019年11月；</w:t>
            </w:r>
          </w:p>
          <w:p>
            <w:pPr>
              <w:spacing w:line="240" w:lineRule="exact"/>
              <w:ind w:left="270" w:hanging="270" w:hangingChars="150"/>
              <w:jc w:val="left"/>
              <w:rPr>
                <w:rFonts w:ascii="??_GB2312" w:hAnsi="宋体" w:eastAsia="Times New Roman"/>
                <w:bCs/>
                <w:sz w:val="18"/>
                <w:szCs w:val="18"/>
              </w:rPr>
            </w:pPr>
            <w:r>
              <w:rPr>
                <w:rFonts w:hint="eastAsia" w:ascii="??_GB2312" w:hAnsi="宋体" w:eastAsia="Times New Roman"/>
                <w:bCs/>
                <w:sz w:val="18"/>
                <w:szCs w:val="18"/>
              </w:rPr>
              <w:t>2．《环境工程基础》（新1版）. 李倦生 曾桂华主编. 武汉，武汉理工大学出版社，2014年8月；</w:t>
            </w:r>
          </w:p>
          <w:p>
            <w:pPr>
              <w:spacing w:line="240" w:lineRule="exact"/>
              <w:ind w:left="270" w:hanging="270" w:hangingChars="150"/>
              <w:jc w:val="left"/>
              <w:rPr>
                <w:rFonts w:ascii="??_GB2312" w:hAnsi="宋体" w:eastAsia="Times New Roman"/>
                <w:bCs/>
                <w:sz w:val="18"/>
                <w:szCs w:val="18"/>
              </w:rPr>
            </w:pPr>
            <w:r>
              <w:rPr>
                <w:rFonts w:hint="eastAsia" w:ascii="??_GB2312" w:hAnsi="宋体" w:eastAsia="Times New Roman"/>
                <w:bCs/>
                <w:sz w:val="18"/>
                <w:szCs w:val="18"/>
              </w:rPr>
              <w:t>3．《环境化学》（第一版），姚运先等主编，华南理工大学出版社，2009年；</w:t>
            </w:r>
          </w:p>
          <w:p>
            <w:pPr>
              <w:spacing w:line="240" w:lineRule="exact"/>
              <w:ind w:left="270" w:hanging="270" w:hangingChars="150"/>
              <w:jc w:val="left"/>
              <w:rPr>
                <w:rFonts w:ascii="??_GB2312" w:hAnsi="宋体"/>
                <w:sz w:val="18"/>
                <w:szCs w:val="18"/>
              </w:rPr>
            </w:pPr>
            <w:r>
              <w:rPr>
                <w:rFonts w:hint="eastAsia" w:ascii="??_GB2312" w:hAnsi="宋体" w:eastAsia="Times New Roman"/>
                <w:bCs/>
                <w:sz w:val="18"/>
                <w:szCs w:val="18"/>
              </w:rPr>
              <w:t>4．《环境化学》（第二版），戴树桂主编，高等教育出版社，2006年。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7" w:hRule="atLeast"/>
          <w:jc w:val="center"/>
        </w:trPr>
        <w:tc>
          <w:tcPr>
            <w:tcW w:w="1312" w:type="dxa"/>
            <w:vAlign w:val="center"/>
          </w:tcPr>
          <w:p>
            <w:pPr>
              <w:spacing w:line="240" w:lineRule="exact"/>
              <w:jc w:val="center"/>
              <w:rPr>
                <w:rFonts w:ascii="??_GB2312" w:hAnsi="宋体" w:eastAsia="Times New Roman"/>
                <w:bCs/>
                <w:sz w:val="18"/>
                <w:szCs w:val="18"/>
              </w:rPr>
            </w:pPr>
            <w:r>
              <w:rPr>
                <w:rFonts w:hint="eastAsia" w:ascii="??_GB2312" w:hAnsi="宋体" w:eastAsia="Times New Roman"/>
                <w:bCs/>
                <w:sz w:val="18"/>
                <w:szCs w:val="18"/>
              </w:rPr>
              <w:t>食品科学与工程</w:t>
            </w:r>
          </w:p>
        </w:tc>
        <w:tc>
          <w:tcPr>
            <w:tcW w:w="1000" w:type="dxa"/>
            <w:vAlign w:val="center"/>
          </w:tcPr>
          <w:p>
            <w:pPr>
              <w:spacing w:line="240" w:lineRule="exact"/>
              <w:rPr>
                <w:rFonts w:ascii="??_GB2312" w:hAnsi="宋体" w:eastAsia="Times New Roman"/>
                <w:sz w:val="18"/>
                <w:szCs w:val="18"/>
              </w:rPr>
            </w:pPr>
            <w:r>
              <w:rPr>
                <w:rFonts w:ascii="??_GB2312" w:hAnsi="宋体" w:eastAsia="Times New Roman"/>
                <w:sz w:val="18"/>
                <w:szCs w:val="18"/>
              </w:rPr>
              <w:t>1．政治理论</w:t>
            </w:r>
          </w:p>
          <w:p>
            <w:pPr>
              <w:spacing w:line="240" w:lineRule="exact"/>
              <w:rPr>
                <w:rFonts w:ascii="??_GB2312" w:hAnsi="宋体" w:eastAsia="Times New Roman"/>
                <w:sz w:val="18"/>
                <w:szCs w:val="18"/>
              </w:rPr>
            </w:pPr>
            <w:r>
              <w:rPr>
                <w:rFonts w:ascii="??_GB2312" w:hAnsi="宋体" w:eastAsia="Times New Roman"/>
                <w:sz w:val="18"/>
                <w:szCs w:val="18"/>
              </w:rPr>
              <w:t>2．英语</w:t>
            </w:r>
          </w:p>
          <w:p>
            <w:pPr>
              <w:spacing w:line="240" w:lineRule="exact"/>
              <w:rPr>
                <w:rFonts w:ascii="??_GB2312" w:hAnsi="宋体" w:eastAsia="Times New Roman"/>
                <w:sz w:val="18"/>
                <w:szCs w:val="18"/>
              </w:rPr>
            </w:pPr>
            <w:r>
              <w:rPr>
                <w:rFonts w:ascii="??_GB2312" w:hAnsi="宋体" w:eastAsia="Times New Roman"/>
                <w:sz w:val="18"/>
                <w:szCs w:val="18"/>
              </w:rPr>
              <w:t>3．高等数学</w:t>
            </w:r>
          </w:p>
        </w:tc>
        <w:tc>
          <w:tcPr>
            <w:tcW w:w="1540" w:type="dxa"/>
            <w:vAlign w:val="center"/>
          </w:tcPr>
          <w:p>
            <w:pPr>
              <w:spacing w:line="240" w:lineRule="exact"/>
              <w:ind w:right="105" w:rightChars="50"/>
              <w:rPr>
                <w:rFonts w:ascii="Times New Roman" w:hAnsi="Times New Roman"/>
                <w:sz w:val="18"/>
                <w:szCs w:val="18"/>
              </w:rPr>
            </w:pPr>
            <w:r>
              <w:rPr>
                <w:rFonts w:ascii="Times New Roman" w:hAnsi="Times New Roman"/>
                <w:sz w:val="18"/>
                <w:szCs w:val="18"/>
              </w:rPr>
              <w:t>1</w:t>
            </w:r>
            <w:r>
              <w:rPr>
                <w:rFonts w:ascii="??_GB2312" w:hAnsi="宋体" w:eastAsia="Times New Roman"/>
                <w:sz w:val="18"/>
                <w:szCs w:val="18"/>
              </w:rPr>
              <w:t>．</w:t>
            </w:r>
            <w:r>
              <w:rPr>
                <w:rFonts w:hint="eastAsia" w:ascii="??_GB2312" w:hAnsi="宋体"/>
                <w:sz w:val="18"/>
                <w:szCs w:val="18"/>
              </w:rPr>
              <w:t>食品生物化学</w:t>
            </w:r>
          </w:p>
          <w:p>
            <w:pPr>
              <w:spacing w:line="240" w:lineRule="exact"/>
              <w:ind w:right="105" w:rightChars="50"/>
              <w:rPr>
                <w:rFonts w:ascii="??_GB2312" w:hAnsi="宋体"/>
                <w:sz w:val="18"/>
                <w:szCs w:val="18"/>
              </w:rPr>
            </w:pPr>
            <w:r>
              <w:rPr>
                <w:rFonts w:ascii="Times New Roman" w:hAnsi="Times New Roman"/>
                <w:sz w:val="18"/>
                <w:szCs w:val="18"/>
              </w:rPr>
              <w:t>2</w:t>
            </w:r>
            <w:r>
              <w:rPr>
                <w:rFonts w:ascii="??_GB2312" w:hAnsi="宋体" w:eastAsia="Times New Roman"/>
                <w:sz w:val="18"/>
                <w:szCs w:val="18"/>
              </w:rPr>
              <w:t>．</w:t>
            </w:r>
            <w:r>
              <w:rPr>
                <w:rFonts w:hint="eastAsia"/>
                <w:sz w:val="18"/>
                <w:szCs w:val="18"/>
              </w:rPr>
              <w:t>食品分析</w:t>
            </w:r>
          </w:p>
        </w:tc>
        <w:tc>
          <w:tcPr>
            <w:tcW w:w="6093" w:type="dxa"/>
            <w:vAlign w:val="center"/>
          </w:tcPr>
          <w:p>
            <w:pPr>
              <w:spacing w:line="240" w:lineRule="exact"/>
              <w:ind w:left="270" w:hanging="270" w:hangingChars="150"/>
              <w:jc w:val="left"/>
              <w:rPr>
                <w:rFonts w:ascii="??_GB2312" w:hAnsi="宋体" w:eastAsia="Times New Roman"/>
                <w:bCs/>
                <w:sz w:val="18"/>
                <w:szCs w:val="18"/>
              </w:rPr>
            </w:pPr>
            <w:r>
              <w:rPr>
                <w:rFonts w:hint="eastAsia" w:ascii="??_GB2312" w:hAnsi="宋体" w:eastAsia="Times New Roman"/>
                <w:bCs/>
                <w:sz w:val="18"/>
                <w:szCs w:val="18"/>
              </w:rPr>
              <w:t>1．《生物化学》（第三版）. 张洪渊，万海清主编. 北京，化学工业出版社，2014年；</w:t>
            </w:r>
          </w:p>
          <w:p>
            <w:pPr>
              <w:spacing w:line="240" w:lineRule="exact"/>
              <w:ind w:left="270" w:hanging="270" w:hangingChars="150"/>
              <w:jc w:val="left"/>
              <w:rPr>
                <w:rFonts w:ascii="??_GB2312" w:hAnsi="宋体" w:eastAsia="Times New Roman"/>
                <w:bCs/>
                <w:sz w:val="18"/>
                <w:szCs w:val="18"/>
              </w:rPr>
            </w:pPr>
            <w:r>
              <w:rPr>
                <w:rFonts w:hint="eastAsia" w:ascii="??_GB2312" w:hAnsi="宋体" w:eastAsia="Times New Roman"/>
                <w:bCs/>
                <w:sz w:val="18"/>
                <w:szCs w:val="18"/>
              </w:rPr>
              <w:t>2．《生物化学简明教程》（第五版）. 张丽萍，杨建雄主编. 北京，高等教育出版社，2015年；</w:t>
            </w:r>
          </w:p>
          <w:p>
            <w:pPr>
              <w:spacing w:line="240" w:lineRule="exact"/>
              <w:ind w:left="270" w:hanging="270" w:hangingChars="150"/>
              <w:jc w:val="left"/>
              <w:rPr>
                <w:rFonts w:ascii="??_GB2312" w:hAnsi="宋体" w:eastAsia="Times New Roman"/>
                <w:bCs/>
                <w:sz w:val="18"/>
                <w:szCs w:val="18"/>
              </w:rPr>
            </w:pPr>
            <w:r>
              <w:rPr>
                <w:rFonts w:hint="eastAsia" w:ascii="??_GB2312" w:hAnsi="宋体" w:eastAsia="Times New Roman"/>
                <w:bCs/>
                <w:sz w:val="18"/>
                <w:szCs w:val="18"/>
              </w:rPr>
              <w:t>3．《食品生物化学》（第二版）. 谢达平主编. 北京，中国农业出版社，2014年；</w:t>
            </w:r>
          </w:p>
          <w:p>
            <w:pPr>
              <w:spacing w:line="240" w:lineRule="exact"/>
              <w:ind w:left="270" w:hanging="270" w:hangingChars="150"/>
              <w:jc w:val="left"/>
              <w:rPr>
                <w:rFonts w:ascii="??_GB2312" w:hAnsi="宋体" w:eastAsia="Times New Roman"/>
                <w:bCs/>
                <w:sz w:val="18"/>
                <w:szCs w:val="18"/>
              </w:rPr>
            </w:pPr>
            <w:r>
              <w:rPr>
                <w:rFonts w:hint="eastAsia" w:ascii="??_GB2312" w:hAnsi="宋体" w:eastAsia="Times New Roman"/>
                <w:bCs/>
                <w:sz w:val="18"/>
                <w:szCs w:val="18"/>
              </w:rPr>
              <w:t>4．《食品分析》（第三版），王永华、戚穗坚主编，中国轻工业出版社，2017年；</w:t>
            </w:r>
          </w:p>
          <w:p>
            <w:pPr>
              <w:spacing w:line="240" w:lineRule="exact"/>
              <w:ind w:left="270" w:hanging="270" w:hangingChars="150"/>
              <w:jc w:val="left"/>
              <w:rPr>
                <w:rFonts w:ascii="??_GB2312" w:hAnsi="宋体"/>
                <w:sz w:val="18"/>
                <w:szCs w:val="18"/>
              </w:rPr>
            </w:pPr>
            <w:r>
              <w:rPr>
                <w:rFonts w:hint="eastAsia" w:ascii="??_GB2312" w:hAnsi="宋体" w:eastAsia="Times New Roman"/>
                <w:bCs/>
                <w:sz w:val="18"/>
                <w:szCs w:val="18"/>
              </w:rPr>
              <w:t>5．《食品分析与检验技术》(第三版)，周光理主编，化学工业出版社，2015年。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4" w:hRule="atLeast"/>
          <w:jc w:val="center"/>
        </w:trPr>
        <w:tc>
          <w:tcPr>
            <w:tcW w:w="1312" w:type="dxa"/>
            <w:vAlign w:val="center"/>
          </w:tcPr>
          <w:p>
            <w:pPr>
              <w:spacing w:line="240" w:lineRule="exact"/>
              <w:jc w:val="center"/>
              <w:rPr>
                <w:rFonts w:ascii="??_GB2312" w:hAnsi="宋体" w:eastAsia="Times New Roman"/>
                <w:bCs/>
                <w:sz w:val="18"/>
                <w:szCs w:val="18"/>
              </w:rPr>
            </w:pPr>
            <w:r>
              <w:rPr>
                <w:rFonts w:hint="eastAsia" w:ascii="??_GB2312" w:hAnsi="宋体" w:eastAsia="Times New Roman"/>
                <w:bCs/>
                <w:sz w:val="18"/>
                <w:szCs w:val="18"/>
              </w:rPr>
              <w:t>酒店管理</w:t>
            </w:r>
          </w:p>
        </w:tc>
        <w:tc>
          <w:tcPr>
            <w:tcW w:w="1000" w:type="dxa"/>
            <w:vMerge w:val="restart"/>
            <w:vAlign w:val="center"/>
          </w:tcPr>
          <w:p>
            <w:pPr>
              <w:spacing w:line="240" w:lineRule="exact"/>
              <w:rPr>
                <w:rFonts w:ascii="??_GB2312" w:hAnsi="宋体" w:eastAsia="Times New Roman"/>
                <w:sz w:val="18"/>
                <w:szCs w:val="18"/>
              </w:rPr>
            </w:pPr>
            <w:r>
              <w:rPr>
                <w:rFonts w:ascii="??_GB2312" w:hAnsi="宋体" w:eastAsia="Times New Roman"/>
                <w:sz w:val="18"/>
                <w:szCs w:val="18"/>
              </w:rPr>
              <w:t>1．政治理论</w:t>
            </w:r>
          </w:p>
          <w:p>
            <w:pPr>
              <w:spacing w:line="240" w:lineRule="exact"/>
              <w:rPr>
                <w:rFonts w:ascii="??_GB2312" w:hAnsi="宋体" w:eastAsia="Times New Roman"/>
                <w:sz w:val="18"/>
                <w:szCs w:val="18"/>
              </w:rPr>
            </w:pPr>
            <w:r>
              <w:rPr>
                <w:rFonts w:ascii="??_GB2312" w:hAnsi="宋体" w:eastAsia="Times New Roman"/>
                <w:sz w:val="18"/>
                <w:szCs w:val="18"/>
              </w:rPr>
              <w:t>2．英语</w:t>
            </w:r>
          </w:p>
          <w:p>
            <w:pPr>
              <w:spacing w:line="240" w:lineRule="exact"/>
              <w:rPr>
                <w:rFonts w:ascii="??_GB2312" w:hAnsi="宋体" w:eastAsia="Times New Roman"/>
                <w:sz w:val="18"/>
                <w:szCs w:val="18"/>
              </w:rPr>
            </w:pPr>
            <w:r>
              <w:rPr>
                <w:rFonts w:ascii="??_GB2312" w:hAnsi="宋体" w:eastAsia="Times New Roman"/>
                <w:sz w:val="18"/>
                <w:szCs w:val="18"/>
              </w:rPr>
              <w:t>3．</w:t>
            </w:r>
            <w:r>
              <w:rPr>
                <w:rFonts w:hint="eastAsia" w:ascii="??_GB2312" w:hAnsi="宋体"/>
                <w:sz w:val="18"/>
                <w:szCs w:val="18"/>
              </w:rPr>
              <w:t>管理</w:t>
            </w:r>
            <w:r>
              <w:rPr>
                <w:rFonts w:ascii="??_GB2312" w:hAnsi="宋体" w:eastAsia="Times New Roman"/>
                <w:sz w:val="18"/>
                <w:szCs w:val="18"/>
              </w:rPr>
              <w:t>学</w:t>
            </w:r>
          </w:p>
        </w:tc>
        <w:tc>
          <w:tcPr>
            <w:tcW w:w="1540" w:type="dxa"/>
            <w:vMerge w:val="restart"/>
            <w:vAlign w:val="center"/>
          </w:tcPr>
          <w:p>
            <w:pPr>
              <w:spacing w:line="240" w:lineRule="exact"/>
              <w:ind w:right="105" w:rightChars="50"/>
              <w:rPr>
                <w:rFonts w:ascii="Times New Roman" w:hAnsi="Times New Roman"/>
                <w:sz w:val="18"/>
                <w:szCs w:val="18"/>
              </w:rPr>
            </w:pPr>
            <w:r>
              <w:rPr>
                <w:rFonts w:ascii="Times New Roman" w:hAnsi="Times New Roman"/>
                <w:sz w:val="18"/>
                <w:szCs w:val="18"/>
              </w:rPr>
              <w:t>1</w:t>
            </w:r>
            <w:r>
              <w:rPr>
                <w:rFonts w:ascii="??_GB2312" w:hAnsi="宋体" w:eastAsia="Times New Roman"/>
                <w:sz w:val="18"/>
                <w:szCs w:val="18"/>
              </w:rPr>
              <w:t>．</w:t>
            </w:r>
            <w:r>
              <w:rPr>
                <w:rFonts w:ascii="Times New Roman" w:hAnsi="Times New Roman"/>
                <w:sz w:val="18"/>
                <w:szCs w:val="18"/>
              </w:rPr>
              <w:t>酒店管理概论</w:t>
            </w:r>
          </w:p>
          <w:p>
            <w:pPr>
              <w:spacing w:line="240" w:lineRule="exact"/>
              <w:ind w:right="105" w:rightChars="50"/>
              <w:rPr>
                <w:rFonts w:ascii="??_GB2312" w:hAnsi="宋体"/>
                <w:sz w:val="18"/>
                <w:szCs w:val="18"/>
              </w:rPr>
            </w:pPr>
            <w:r>
              <w:rPr>
                <w:rFonts w:ascii="Times New Roman" w:hAnsi="Times New Roman"/>
                <w:sz w:val="18"/>
                <w:szCs w:val="18"/>
              </w:rPr>
              <w:t>2</w:t>
            </w:r>
            <w:r>
              <w:rPr>
                <w:rFonts w:ascii="??_GB2312" w:hAnsi="宋体" w:eastAsia="Times New Roman"/>
                <w:sz w:val="18"/>
                <w:szCs w:val="18"/>
              </w:rPr>
              <w:t>．</w:t>
            </w:r>
            <w:r>
              <w:rPr>
                <w:rFonts w:ascii="Times New Roman" w:hAnsi="Times New Roman"/>
                <w:sz w:val="18"/>
                <w:szCs w:val="18"/>
              </w:rPr>
              <w:t>旅游学概论</w:t>
            </w:r>
          </w:p>
        </w:tc>
        <w:tc>
          <w:tcPr>
            <w:tcW w:w="6093" w:type="dxa"/>
            <w:vMerge w:val="restart"/>
            <w:vAlign w:val="center"/>
          </w:tcPr>
          <w:p>
            <w:pPr>
              <w:spacing w:line="240" w:lineRule="exact"/>
              <w:ind w:left="270" w:hanging="270" w:hangingChars="150"/>
              <w:jc w:val="left"/>
              <w:rPr>
                <w:rFonts w:ascii="??_GB2312" w:hAnsi="宋体" w:eastAsia="Times New Roman"/>
                <w:bCs/>
                <w:sz w:val="18"/>
                <w:szCs w:val="18"/>
              </w:rPr>
            </w:pPr>
            <w:r>
              <w:rPr>
                <w:rFonts w:hint="eastAsia" w:ascii="??_GB2312" w:hAnsi="宋体" w:eastAsia="Times New Roman"/>
                <w:bCs/>
                <w:sz w:val="18"/>
                <w:szCs w:val="18"/>
              </w:rPr>
              <w:t>1．《饭店管理》，蒋丁新主编，(2010年，第三版)，高等教育出版社。</w:t>
            </w:r>
          </w:p>
          <w:p>
            <w:pPr>
              <w:spacing w:line="240" w:lineRule="exact"/>
              <w:ind w:left="270" w:hanging="270" w:hangingChars="150"/>
              <w:jc w:val="left"/>
              <w:rPr>
                <w:rFonts w:ascii="??_GB2312" w:hAnsi="宋体" w:eastAsia="Times New Roman"/>
                <w:bCs/>
                <w:sz w:val="18"/>
                <w:szCs w:val="18"/>
              </w:rPr>
            </w:pPr>
            <w:r>
              <w:rPr>
                <w:rFonts w:hint="eastAsia" w:ascii="??_GB2312" w:hAnsi="宋体" w:eastAsia="Times New Roman"/>
                <w:bCs/>
                <w:sz w:val="18"/>
                <w:szCs w:val="18"/>
              </w:rPr>
              <w:t>2．《旅游学》，李天元主编，（2011年，第三版），高等教育出版社；</w:t>
            </w:r>
          </w:p>
          <w:p>
            <w:pPr>
              <w:spacing w:line="240" w:lineRule="exact"/>
              <w:jc w:val="left"/>
              <w:rPr>
                <w:rFonts w:ascii="??_GB2312" w:hAnsi="宋体"/>
                <w:sz w:val="18"/>
                <w:szCs w:val="18"/>
              </w:rPr>
            </w:pPr>
            <w:r>
              <w:rPr>
                <w:rFonts w:hint="eastAsia" w:ascii="??_GB2312" w:hAnsi="宋体" w:eastAsia="Times New Roman"/>
                <w:bCs/>
                <w:sz w:val="18"/>
                <w:szCs w:val="18"/>
              </w:rPr>
              <w:t>3．《旅游学概论》，李天元主编，（2009年，第六版），南开大学出版社。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1312" w:type="dxa"/>
            <w:vAlign w:val="center"/>
          </w:tcPr>
          <w:p>
            <w:pPr>
              <w:spacing w:line="240" w:lineRule="exact"/>
              <w:jc w:val="center"/>
              <w:rPr>
                <w:rFonts w:ascii="??_GB2312" w:hAnsi="宋体" w:eastAsia="Times New Roman"/>
                <w:bCs/>
                <w:sz w:val="18"/>
                <w:szCs w:val="18"/>
              </w:rPr>
            </w:pPr>
            <w:r>
              <w:rPr>
                <w:rFonts w:hint="eastAsia" w:ascii="??_GB2312" w:hAnsi="宋体" w:eastAsia="Times New Roman"/>
                <w:bCs/>
                <w:sz w:val="18"/>
                <w:szCs w:val="18"/>
              </w:rPr>
              <w:t>旅游管理</w:t>
            </w:r>
          </w:p>
        </w:tc>
        <w:tc>
          <w:tcPr>
            <w:tcW w:w="1000" w:type="dxa"/>
            <w:vMerge w:val="continue"/>
            <w:vAlign w:val="center"/>
          </w:tcPr>
          <w:p>
            <w:pPr>
              <w:spacing w:line="240" w:lineRule="exact"/>
              <w:rPr>
                <w:rFonts w:ascii="??_GB2312" w:hAnsi="宋体" w:eastAsia="Times New Roman"/>
                <w:sz w:val="18"/>
                <w:szCs w:val="18"/>
              </w:rPr>
            </w:pPr>
          </w:p>
        </w:tc>
        <w:tc>
          <w:tcPr>
            <w:tcW w:w="1540" w:type="dxa"/>
            <w:vMerge w:val="continue"/>
            <w:vAlign w:val="center"/>
          </w:tcPr>
          <w:p>
            <w:pPr>
              <w:spacing w:line="240" w:lineRule="exact"/>
              <w:ind w:right="105" w:rightChars="50"/>
              <w:rPr>
                <w:rFonts w:ascii="??_GB2312" w:hAnsi="宋体"/>
                <w:sz w:val="18"/>
                <w:szCs w:val="18"/>
              </w:rPr>
            </w:pPr>
          </w:p>
        </w:tc>
        <w:tc>
          <w:tcPr>
            <w:tcW w:w="6093" w:type="dxa"/>
            <w:vMerge w:val="continue"/>
            <w:vAlign w:val="center"/>
          </w:tcPr>
          <w:p>
            <w:pPr>
              <w:spacing w:line="240" w:lineRule="exact"/>
              <w:ind w:left="270" w:hanging="270" w:hangingChars="150"/>
              <w:rPr>
                <w:rFonts w:ascii="??_GB2312" w:hAnsi="宋体"/>
                <w:sz w:val="18"/>
                <w:szCs w:val="18"/>
              </w:rPr>
            </w:pPr>
          </w:p>
        </w:tc>
      </w:tr>
    </w:tbl>
    <w:p>
      <w:pPr>
        <w:rPr>
          <w:rFonts w:ascii="楷体_GB2312" w:hAnsi="宋体" w:eastAsia="楷体_GB2312" w:cs="宋体"/>
          <w:sz w:val="32"/>
          <w:szCs w:val="32"/>
        </w:rPr>
      </w:pPr>
      <w:r>
        <w:rPr>
          <w:rFonts w:hint="eastAsia" w:ascii="楷体_GB2312" w:hAnsi="宋体" w:eastAsia="楷体_GB2312" w:cs="宋体"/>
          <w:sz w:val="32"/>
          <w:szCs w:val="32"/>
        </w:rPr>
        <w:t>（四）请问网上报名有哪些注意事项？</w:t>
      </w:r>
    </w:p>
    <w:p>
      <w:pPr>
        <w:spacing w:line="520" w:lineRule="exact"/>
        <w:ind w:firstLine="640" w:firstLineChars="200"/>
        <w:rPr>
          <w:rFonts w:ascii="??_GB2312" w:eastAsia="Times New Roman"/>
          <w:b/>
          <w:szCs w:val="21"/>
        </w:rPr>
      </w:pPr>
      <w:r>
        <w:rPr>
          <w:rFonts w:hint="eastAsia" w:ascii="仿宋_GB2312" w:hAnsi="宋体" w:eastAsia="仿宋_GB2312" w:cs="宋体"/>
          <w:sz w:val="32"/>
          <w:szCs w:val="32"/>
        </w:rPr>
        <w:t>考生姓名和身份证号等信息是录取入学后注册学籍的重要信息，请在网上报名时慎重输入，仔细确认；通讯地址与联系电话不要随意更换，以确保录取通知书的查收和方便联系；考生网上报名后，请牢记网上预报名号及密码。</w:t>
      </w:r>
    </w:p>
    <w:p>
      <w:pPr>
        <w:rPr>
          <w:rFonts w:ascii="楷体_GB2312" w:hAnsi="宋体" w:eastAsia="楷体_GB2312" w:cs="宋体"/>
          <w:sz w:val="32"/>
          <w:szCs w:val="32"/>
        </w:rPr>
      </w:pPr>
      <w:r>
        <w:rPr>
          <w:rFonts w:hint="eastAsia" w:ascii="楷体_GB2312" w:hAnsi="宋体" w:eastAsia="楷体_GB2312" w:cs="宋体"/>
          <w:sz w:val="32"/>
          <w:szCs w:val="32"/>
        </w:rPr>
        <w:t>（五）请问录取后能转专业吗？毕业与就业的政策如何？</w:t>
      </w:r>
    </w:p>
    <w:p>
      <w:pPr>
        <w:spacing w:line="52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插班生为国家任务生，全日制脱产学习。9月份注册入学后，即成为学校的正式学生，插入本科专业三年级学习。插班生不办理转专业。</w:t>
      </w:r>
    </w:p>
    <w:p>
      <w:pPr>
        <w:spacing w:line="520" w:lineRule="exact"/>
        <w:ind w:firstLine="640" w:firstLineChars="200"/>
        <w:rPr>
          <w:rFonts w:ascii="??_GB2312" w:hAnsi="宋体" w:eastAsia="Times New Roman"/>
          <w:szCs w:val="21"/>
        </w:rPr>
      </w:pPr>
      <w:r>
        <w:rPr>
          <w:rFonts w:hint="eastAsia" w:ascii="仿宋_GB2312" w:hAnsi="宋体" w:eastAsia="仿宋_GB2312" w:cs="宋体"/>
          <w:sz w:val="32"/>
          <w:szCs w:val="32"/>
        </w:rPr>
        <w:t>插班生修完本科教学计划规定的课程，并考核合格，发给本科毕业证书。符合学位授予条件的，授予学士学位。插班生毕业后的就业办法，与普通高校的本科毕业生相同。</w:t>
      </w:r>
    </w:p>
    <w:p>
      <w:pPr>
        <w:rPr>
          <w:rFonts w:ascii="楷体_GB2312" w:hAnsi="宋体" w:eastAsia="楷体_GB2312" w:cs="宋体"/>
          <w:sz w:val="32"/>
          <w:szCs w:val="32"/>
        </w:rPr>
      </w:pPr>
      <w:r>
        <w:rPr>
          <w:rFonts w:hint="eastAsia" w:ascii="楷体_GB2312" w:hAnsi="宋体" w:eastAsia="楷体_GB2312" w:cs="宋体"/>
          <w:sz w:val="32"/>
          <w:szCs w:val="32"/>
        </w:rPr>
        <w:t>（六）请问录取分数线是如何划定的？什么时候录取？如何查询成绩和录取情况？</w:t>
      </w:r>
    </w:p>
    <w:p>
      <w:pPr>
        <w:pStyle w:val="2"/>
        <w:spacing w:line="520" w:lineRule="exact"/>
        <w:ind w:firstLine="640"/>
        <w:rPr>
          <w:rFonts w:ascii="仿宋_GB2312" w:hAnsi="宋体" w:eastAsia="仿宋_GB2312" w:cs="宋体"/>
          <w:sz w:val="32"/>
          <w:szCs w:val="32"/>
        </w:rPr>
      </w:pPr>
      <w:r>
        <w:rPr>
          <w:rFonts w:hint="eastAsia" w:ascii="仿宋_GB2312" w:hAnsi="宋体" w:eastAsia="仿宋_GB2312" w:cs="宋体"/>
          <w:sz w:val="32"/>
          <w:szCs w:val="32"/>
        </w:rPr>
        <w:t>插班生考试各科满分为100分，五科总分为500分。由省招办划定五门考试科目总分和省统考科总分的最低录取分数控制线，学校根据考试五科总分择优录取。</w:t>
      </w:r>
    </w:p>
    <w:p>
      <w:pPr>
        <w:pStyle w:val="2"/>
        <w:spacing w:line="520" w:lineRule="exact"/>
        <w:ind w:firstLine="643"/>
        <w:rPr>
          <w:rFonts w:ascii="仿宋_GB2312" w:hAnsi="宋体" w:eastAsia="仿宋_GB2312" w:cs="宋体"/>
          <w:sz w:val="32"/>
          <w:szCs w:val="32"/>
        </w:rPr>
      </w:pPr>
      <w:r>
        <w:rPr>
          <w:rFonts w:hint="eastAsia" w:ascii="仿宋_GB2312" w:hAnsi="宋体" w:eastAsia="仿宋_GB2312" w:cs="宋体"/>
          <w:b/>
          <w:bCs/>
          <w:color w:val="000000" w:themeColor="text1"/>
          <w:sz w:val="32"/>
          <w:szCs w:val="32"/>
          <w:u w:val="single"/>
          <w14:textFill>
            <w14:solidFill>
              <w14:schemeClr w14:val="tx1"/>
            </w14:solidFill>
          </w14:textFill>
        </w:rPr>
        <w:t>插班生</w:t>
      </w:r>
      <w:r>
        <w:rPr>
          <w:rFonts w:hint="eastAsia" w:ascii="仿宋_GB2312" w:hAnsi="宋体" w:eastAsia="仿宋_GB2312" w:cs="宋体"/>
          <w:b/>
          <w:bCs/>
          <w:color w:val="000000" w:themeColor="text1"/>
          <w:sz w:val="32"/>
          <w:szCs w:val="32"/>
          <w:u w:val="single"/>
          <w:lang w:eastAsia="zh-CN"/>
          <w14:textFill>
            <w14:solidFill>
              <w14:schemeClr w14:val="tx1"/>
            </w14:solidFill>
          </w14:textFill>
        </w:rPr>
        <w:t>考试</w:t>
      </w:r>
      <w:r>
        <w:rPr>
          <w:rFonts w:hint="eastAsia" w:ascii="仿宋_GB2312" w:hAnsi="宋体" w:eastAsia="仿宋_GB2312" w:cs="宋体"/>
          <w:b/>
          <w:bCs/>
          <w:color w:val="000000" w:themeColor="text1"/>
          <w:sz w:val="32"/>
          <w:szCs w:val="32"/>
          <w:u w:val="single"/>
          <w14:textFill>
            <w14:solidFill>
              <w14:schemeClr w14:val="tx1"/>
            </w14:solidFill>
          </w14:textFill>
        </w:rPr>
        <w:t>录取</w:t>
      </w:r>
      <w:r>
        <w:rPr>
          <w:rFonts w:hint="eastAsia" w:ascii="仿宋_GB2312" w:hAnsi="仿宋" w:eastAsia="仿宋_GB2312"/>
          <w:b/>
          <w:bCs/>
          <w:color w:val="000000" w:themeColor="text1"/>
          <w:sz w:val="32"/>
          <w:szCs w:val="32"/>
          <w:u w:val="single"/>
          <w14:textFill>
            <w14:solidFill>
              <w14:schemeClr w14:val="tx1"/>
            </w14:solidFill>
          </w14:textFill>
        </w:rPr>
        <w:t>初步安排在4月底以后，具体时间另通知</w:t>
      </w:r>
      <w:r>
        <w:rPr>
          <w:rFonts w:hint="eastAsia" w:ascii="仿宋_GB2312" w:hAnsi="宋体" w:eastAsia="仿宋_GB2312" w:cs="宋体"/>
          <w:b/>
          <w:bCs/>
          <w:color w:val="000000" w:themeColor="text1"/>
          <w:sz w:val="32"/>
          <w:szCs w:val="32"/>
          <w:u w:val="single"/>
          <w14:textFill>
            <w14:solidFill>
              <w14:schemeClr w14:val="tx1"/>
            </w14:solidFill>
          </w14:textFill>
        </w:rPr>
        <w:t>。</w:t>
      </w:r>
      <w:r>
        <w:rPr>
          <w:rFonts w:hint="eastAsia" w:ascii="仿宋_GB2312" w:hAnsi="宋体" w:eastAsia="仿宋_GB2312" w:cs="宋体"/>
          <w:sz w:val="32"/>
          <w:szCs w:val="32"/>
        </w:rPr>
        <w:t>考生成绩和录取查询留意网站公布，可登陆省招办网站</w:t>
      </w:r>
      <w:r>
        <w:fldChar w:fldCharType="begin"/>
      </w:r>
      <w:r>
        <w:instrText xml:space="preserve"> HYPERLINK "http://www.eeagd.edu.cn/" </w:instrText>
      </w:r>
      <w:r>
        <w:fldChar w:fldCharType="separate"/>
      </w:r>
      <w:r>
        <w:rPr>
          <w:rFonts w:hint="eastAsia" w:ascii="仿宋_GB2312" w:hAnsi="宋体" w:eastAsia="仿宋_GB2312" w:cs="宋体"/>
          <w:sz w:val="32"/>
          <w:szCs w:val="32"/>
        </w:rPr>
        <w:t>http://www.e</w:t>
      </w:r>
      <w:bookmarkStart w:id="0" w:name="_Hlt309206858"/>
      <w:r>
        <w:rPr>
          <w:rFonts w:hint="eastAsia" w:ascii="仿宋_GB2312" w:hAnsi="宋体" w:eastAsia="仿宋_GB2312" w:cs="宋体"/>
          <w:sz w:val="32"/>
          <w:szCs w:val="32"/>
        </w:rPr>
        <w:t>e</w:t>
      </w:r>
      <w:bookmarkEnd w:id="0"/>
      <w:r>
        <w:rPr>
          <w:rFonts w:hint="eastAsia" w:ascii="仿宋_GB2312" w:hAnsi="宋体" w:eastAsia="仿宋_GB2312" w:cs="宋体"/>
          <w:sz w:val="32"/>
          <w:szCs w:val="32"/>
        </w:rPr>
        <w:t>agd.edu.cn</w:t>
      </w:r>
      <w:r>
        <w:rPr>
          <w:rFonts w:hint="eastAsia" w:ascii="仿宋_GB2312" w:hAnsi="宋体" w:eastAsia="仿宋_GB2312" w:cs="宋体"/>
          <w:sz w:val="32"/>
          <w:szCs w:val="32"/>
        </w:rPr>
        <w:fldChar w:fldCharType="end"/>
      </w:r>
      <w:r>
        <w:rPr>
          <w:rFonts w:hint="eastAsia" w:ascii="仿宋_GB2312" w:hAnsi="宋体" w:eastAsia="仿宋_GB2312" w:cs="宋体"/>
          <w:sz w:val="32"/>
          <w:szCs w:val="32"/>
        </w:rPr>
        <w:t>或学校招生办网站</w:t>
      </w:r>
      <w:r>
        <w:fldChar w:fldCharType="begin"/>
      </w:r>
      <w:r>
        <w:instrText xml:space="preserve"> HYPERLINK "http://zsb.zqu.edu.cn/" </w:instrText>
      </w:r>
      <w:r>
        <w:fldChar w:fldCharType="separate"/>
      </w:r>
      <w:r>
        <w:rPr>
          <w:rFonts w:hint="eastAsia" w:ascii="仿宋_GB2312" w:hAnsi="宋体" w:eastAsia="仿宋_GB2312" w:cs="宋体"/>
          <w:sz w:val="32"/>
          <w:szCs w:val="32"/>
        </w:rPr>
        <w:t>http://zsb.</w:t>
      </w:r>
      <w:bookmarkStart w:id="1" w:name="_Hlt309206862"/>
      <w:r>
        <w:rPr>
          <w:rFonts w:hint="eastAsia" w:ascii="仿宋_GB2312" w:hAnsi="宋体" w:eastAsia="仿宋_GB2312" w:cs="宋体"/>
          <w:sz w:val="32"/>
          <w:szCs w:val="32"/>
        </w:rPr>
        <w:t>z</w:t>
      </w:r>
      <w:bookmarkEnd w:id="1"/>
      <w:r>
        <w:rPr>
          <w:rFonts w:hint="eastAsia" w:ascii="仿宋_GB2312" w:hAnsi="宋体" w:eastAsia="仿宋_GB2312" w:cs="宋体"/>
          <w:sz w:val="32"/>
          <w:szCs w:val="32"/>
        </w:rPr>
        <w:t>qu.edu.cn/</w:t>
      </w:r>
      <w:r>
        <w:rPr>
          <w:rFonts w:hint="eastAsia" w:ascii="仿宋_GB2312" w:hAnsi="宋体" w:eastAsia="仿宋_GB2312" w:cs="宋体"/>
          <w:sz w:val="32"/>
          <w:szCs w:val="32"/>
        </w:rPr>
        <w:fldChar w:fldCharType="end"/>
      </w:r>
      <w:r>
        <w:rPr>
          <w:rFonts w:hint="eastAsia" w:ascii="仿宋_GB2312" w:hAnsi="宋体" w:eastAsia="仿宋_GB2312" w:cs="宋体"/>
          <w:sz w:val="32"/>
          <w:szCs w:val="32"/>
        </w:rPr>
        <w:t>进行查询。</w:t>
      </w:r>
    </w:p>
    <w:p>
      <w:pPr>
        <w:rPr>
          <w:rFonts w:ascii="楷体_GB2312" w:hAnsi="宋体" w:eastAsia="楷体_GB2312" w:cs="宋体"/>
          <w:sz w:val="32"/>
          <w:szCs w:val="32"/>
        </w:rPr>
      </w:pPr>
      <w:r>
        <w:rPr>
          <w:rFonts w:hint="eastAsia" w:ascii="楷体_GB2312" w:hAnsi="宋体" w:eastAsia="楷体_GB2312" w:cs="宋体"/>
          <w:sz w:val="32"/>
          <w:szCs w:val="32"/>
        </w:rPr>
        <w:t>（七）学校有没有开办考前辅导班？有没有往年真题？有没有考试大纲和专业参考书？</w:t>
      </w:r>
    </w:p>
    <w:p>
      <w:pPr>
        <w:spacing w:line="52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为净化招生考试环境、体现公平竞争，学校不开办任何考前辅导班。往年真题也不对外公布。校考科目的考试大纲可登录我校招生办网站http://zsb.zqu.edu.cn/查阅，各考试科目的参考书由考生自行购买。</w:t>
      </w:r>
    </w:p>
    <w:p>
      <w:pPr>
        <w:rPr>
          <w:rFonts w:ascii="楷体_GB2312" w:hAnsi="宋体" w:eastAsia="楷体_GB2312" w:cs="宋体"/>
          <w:sz w:val="32"/>
          <w:szCs w:val="32"/>
        </w:rPr>
      </w:pPr>
      <w:r>
        <w:rPr>
          <w:rFonts w:hint="eastAsia" w:ascii="楷体_GB2312" w:hAnsi="宋体" w:eastAsia="楷体_GB2312" w:cs="宋体"/>
          <w:sz w:val="32"/>
          <w:szCs w:val="32"/>
        </w:rPr>
        <w:t>（八）请问监督与信息公开方式有哪些？</w:t>
      </w:r>
    </w:p>
    <w:p>
      <w:pPr>
        <w:spacing w:line="52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监督申诉电话：0758-2716246，请考生密切关注招生办网页和广东肇庆学院招生办微信公众号公布的最新消息。</w:t>
      </w:r>
    </w:p>
    <w:p>
      <w:pPr>
        <w:spacing w:line="520" w:lineRule="exact"/>
        <w:ind w:firstLine="640" w:firstLineChars="200"/>
        <w:rPr>
          <w:rFonts w:ascii="仿宋_GB2312" w:hAnsi="宋体" w:eastAsia="仿宋_GB2312" w:cs="宋体"/>
          <w:sz w:val="32"/>
          <w:szCs w:val="32"/>
        </w:rPr>
        <w:sectPr>
          <w:pgSz w:w="11850" w:h="16783"/>
          <w:pgMar w:top="2098" w:right="1474" w:bottom="1985" w:left="1588" w:header="851" w:footer="992" w:gutter="0"/>
          <w:cols w:space="720" w:num="1"/>
          <w:titlePg/>
          <w:docGrid w:type="lines" w:linePitch="312" w:charSpace="0"/>
        </w:sectPr>
      </w:pPr>
    </w:p>
    <w:p>
      <w:pPr>
        <w:widowControl/>
        <w:snapToGrid w:val="0"/>
        <w:spacing w:line="460" w:lineRule="exact"/>
        <w:jc w:val="left"/>
        <w:rPr>
          <w:rFonts w:ascii="黑体" w:hAnsi="黑体" w:eastAsia="黑体"/>
          <w:color w:val="000000"/>
          <w:sz w:val="32"/>
          <w:szCs w:val="32"/>
        </w:rPr>
      </w:pPr>
      <w:r>
        <w:rPr>
          <w:rFonts w:ascii="黑体" w:hAnsi="黑体" w:eastAsia="黑体"/>
          <w:color w:val="000000"/>
          <w:sz w:val="32"/>
          <w:szCs w:val="32"/>
        </w:rPr>
        <w:t>附件2</w:t>
      </w:r>
    </w:p>
    <w:p>
      <w:pPr>
        <w:snapToGrid w:val="0"/>
        <w:spacing w:line="460" w:lineRule="exact"/>
        <w:jc w:val="center"/>
        <w:rPr>
          <w:rFonts w:ascii="方正小标宋简体" w:eastAsia="方正小标宋简体"/>
          <w:color w:val="000000"/>
          <w:sz w:val="44"/>
          <w:szCs w:val="44"/>
        </w:rPr>
      </w:pPr>
      <w:r>
        <w:rPr>
          <w:rFonts w:ascii="方正小标宋简体" w:eastAsia="方正小标宋简体"/>
          <w:color w:val="000000"/>
          <w:sz w:val="44"/>
          <w:szCs w:val="44"/>
        </w:rPr>
        <w:t>  广东省20</w:t>
      </w:r>
      <w:r>
        <w:rPr>
          <w:rFonts w:hint="eastAsia" w:ascii="方正小标宋简体" w:eastAsia="方正小标宋简体"/>
          <w:color w:val="000000"/>
          <w:sz w:val="44"/>
          <w:szCs w:val="44"/>
        </w:rPr>
        <w:t>20</w:t>
      </w:r>
      <w:r>
        <w:rPr>
          <w:rFonts w:ascii="方正小标宋简体" w:eastAsia="方正小标宋简体"/>
          <w:color w:val="000000"/>
          <w:sz w:val="44"/>
          <w:szCs w:val="44"/>
        </w:rPr>
        <w:t>年</w:t>
      </w:r>
      <w:r>
        <w:rPr>
          <w:rFonts w:hint="eastAsia" w:ascii="方正小标宋简体" w:eastAsia="方正小标宋简体"/>
          <w:color w:val="000000"/>
          <w:sz w:val="44"/>
          <w:szCs w:val="44"/>
        </w:rPr>
        <w:t>普通高等学校</w:t>
      </w:r>
      <w:r>
        <w:rPr>
          <w:rFonts w:ascii="方正小标宋简体" w:eastAsia="方正小标宋简体"/>
          <w:color w:val="000000"/>
          <w:sz w:val="44"/>
          <w:szCs w:val="44"/>
        </w:rPr>
        <w:t>本科插班生(含三二分段专升本转段)招生统一考试考生</w:t>
      </w:r>
    </w:p>
    <w:p>
      <w:pPr>
        <w:snapToGrid w:val="0"/>
        <w:spacing w:line="460" w:lineRule="exact"/>
        <w:jc w:val="center"/>
        <w:rPr>
          <w:rFonts w:ascii="方正小标宋简体" w:eastAsia="方正小标宋简体"/>
          <w:color w:val="000000"/>
          <w:sz w:val="44"/>
          <w:szCs w:val="44"/>
        </w:rPr>
      </w:pPr>
      <w:r>
        <w:rPr>
          <w:rFonts w:ascii="方正小标宋简体" w:eastAsia="方正小标宋简体"/>
          <w:color w:val="000000"/>
          <w:sz w:val="44"/>
          <w:szCs w:val="44"/>
        </w:rPr>
        <w:t>诚信考试承诺书 </w:t>
      </w:r>
    </w:p>
    <w:p>
      <w:pPr>
        <w:snapToGrid w:val="0"/>
        <w:spacing w:line="460" w:lineRule="exact"/>
        <w:jc w:val="center"/>
        <w:rPr>
          <w:rFonts w:ascii="方正小标宋简体" w:eastAsia="方正小标宋简体"/>
          <w:color w:val="000000"/>
          <w:sz w:val="44"/>
          <w:szCs w:val="44"/>
        </w:rPr>
      </w:pPr>
    </w:p>
    <w:p>
      <w:pPr>
        <w:snapToGrid w:val="0"/>
        <w:spacing w:line="460" w:lineRule="exact"/>
        <w:ind w:firstLine="566" w:firstLineChars="177"/>
        <w:rPr>
          <w:rFonts w:ascii="仿宋_GB2312" w:hAnsi="仿宋" w:eastAsia="仿宋_GB2312"/>
          <w:sz w:val="32"/>
          <w:szCs w:val="32"/>
        </w:rPr>
      </w:pPr>
      <w:r>
        <w:rPr>
          <w:rFonts w:hint="eastAsia" w:ascii="仿宋_GB2312" w:hAnsi="仿宋" w:eastAsia="仿宋_GB2312"/>
          <w:sz w:val="32"/>
          <w:szCs w:val="32"/>
        </w:rPr>
        <w:t>本人自愿参加广东省2020年本科插班生招生统一考试，现郑重承诺：</w:t>
      </w:r>
      <w:r>
        <w:rPr>
          <w:rFonts w:hint="eastAsia" w:ascii="仿宋_GB2312" w:eastAsia="仿宋_GB2312" w:cs="Calibri"/>
          <w:sz w:val="32"/>
          <w:szCs w:val="32"/>
        </w:rPr>
        <w:t> </w:t>
      </w:r>
    </w:p>
    <w:p>
      <w:pPr>
        <w:snapToGrid w:val="0"/>
        <w:spacing w:line="460" w:lineRule="exact"/>
        <w:ind w:firstLine="566" w:firstLineChars="177"/>
        <w:rPr>
          <w:rFonts w:ascii="仿宋_GB2312" w:hAnsi="仿宋" w:eastAsia="仿宋_GB2312"/>
          <w:sz w:val="32"/>
          <w:szCs w:val="32"/>
        </w:rPr>
      </w:pPr>
      <w:r>
        <w:rPr>
          <w:rFonts w:hint="eastAsia" w:ascii="仿宋_GB2312" w:hAnsi="仿宋" w:eastAsia="仿宋_GB2312"/>
          <w:sz w:val="32"/>
          <w:szCs w:val="32"/>
        </w:rPr>
        <w:t>一、本人已阅读了广东省2020年本科插班生高校招生统一考试的有关规定和纪律要求，愿意在考试中自觉遵守国家和广东省制定的有关本次考试的规定和守则，保证按规定的程序和要求参加考试，如有违反，自愿按《国家教育考试违规处理办法》有关条款接受处理。</w:t>
      </w:r>
      <w:r>
        <w:rPr>
          <w:rFonts w:hint="eastAsia" w:ascii="仿宋_GB2312" w:eastAsia="仿宋_GB2312" w:cs="Calibri"/>
          <w:sz w:val="32"/>
          <w:szCs w:val="32"/>
        </w:rPr>
        <w:t> </w:t>
      </w:r>
    </w:p>
    <w:p>
      <w:pPr>
        <w:snapToGrid w:val="0"/>
        <w:spacing w:line="460" w:lineRule="exact"/>
        <w:ind w:firstLine="566" w:firstLineChars="177"/>
        <w:rPr>
          <w:rFonts w:ascii="仿宋_GB2312" w:hAnsi="仿宋" w:eastAsia="仿宋_GB2312"/>
          <w:sz w:val="32"/>
          <w:szCs w:val="32"/>
        </w:rPr>
      </w:pPr>
      <w:r>
        <w:rPr>
          <w:rFonts w:hint="eastAsia" w:ascii="仿宋_GB2312" w:hAnsi="仿宋" w:eastAsia="仿宋_GB2312"/>
          <w:sz w:val="32"/>
          <w:szCs w:val="32"/>
        </w:rPr>
        <w:t>二、本人坚决遵守广东省2020年本科插班生高校招生统一考试有关报名规定，不弄虚作假，不伪造、使用假证明、假学籍材料、假证书。如有违反，自愿按有关规定接受处理。本人按报名规定需提交的专科毕业证书是国民教育系列毕业证书，在入学资格复查或入学期间（含领取本科毕业证资格审核），若被发现所持专科毕业证书无效，本人愿意承担由此造成的一切后果。</w:t>
      </w:r>
      <w:r>
        <w:rPr>
          <w:rFonts w:hint="eastAsia" w:ascii="仿宋_GB2312" w:eastAsia="仿宋_GB2312" w:cs="Calibri"/>
          <w:sz w:val="32"/>
          <w:szCs w:val="32"/>
        </w:rPr>
        <w:t> </w:t>
      </w:r>
    </w:p>
    <w:p>
      <w:pPr>
        <w:snapToGrid w:val="0"/>
        <w:spacing w:line="460" w:lineRule="exact"/>
        <w:ind w:firstLine="566" w:firstLineChars="177"/>
        <w:rPr>
          <w:rFonts w:ascii="仿宋_GB2312" w:hAnsi="仿宋" w:eastAsia="仿宋_GB2312"/>
          <w:sz w:val="32"/>
          <w:szCs w:val="32"/>
        </w:rPr>
      </w:pPr>
      <w:r>
        <w:rPr>
          <w:rFonts w:hint="eastAsia" w:ascii="仿宋_GB2312" w:hAnsi="仿宋" w:eastAsia="仿宋_GB2312"/>
          <w:sz w:val="32"/>
          <w:szCs w:val="32"/>
        </w:rPr>
        <w:t>三、本人坚决服从考场工作人员和监考教师的管理,自觉遵守考试纪律，考试诚实守信，不违规，不作弊。</w:t>
      </w:r>
      <w:r>
        <w:rPr>
          <w:rFonts w:hint="eastAsia" w:ascii="仿宋_GB2312" w:eastAsia="仿宋_GB2312" w:cs="Calibri"/>
          <w:sz w:val="32"/>
          <w:szCs w:val="32"/>
        </w:rPr>
        <w:t> </w:t>
      </w:r>
    </w:p>
    <w:p>
      <w:pPr>
        <w:snapToGrid w:val="0"/>
        <w:spacing w:line="460" w:lineRule="exact"/>
        <w:ind w:firstLine="566" w:firstLineChars="177"/>
        <w:rPr>
          <w:rFonts w:ascii="仿宋_GB2312" w:hAnsi="仿宋" w:eastAsia="仿宋_GB2312"/>
          <w:sz w:val="32"/>
          <w:szCs w:val="32"/>
        </w:rPr>
      </w:pPr>
      <w:r>
        <w:rPr>
          <w:rFonts w:hint="eastAsia" w:ascii="仿宋_GB2312" w:hAnsi="仿宋" w:eastAsia="仿宋_GB2312"/>
          <w:sz w:val="32"/>
          <w:szCs w:val="32"/>
        </w:rPr>
        <w:t>四、本人报名时所提供的个人信息是真实、准确的，如因个人信息错误、失真造成不良后果，责任由本人承担。</w:t>
      </w:r>
    </w:p>
    <w:p>
      <w:pPr>
        <w:snapToGrid w:val="0"/>
        <w:spacing w:line="460" w:lineRule="exact"/>
        <w:rPr>
          <w:rFonts w:ascii="仿宋_GB2312" w:hAnsi="仿宋" w:eastAsia="仿宋_GB2312"/>
          <w:sz w:val="32"/>
          <w:szCs w:val="32"/>
        </w:rPr>
      </w:pPr>
    </w:p>
    <w:p>
      <w:pPr>
        <w:snapToGrid w:val="0"/>
        <w:spacing w:line="460" w:lineRule="exact"/>
        <w:rPr>
          <w:rFonts w:ascii="仿宋_GB2312" w:hAnsi="仿宋" w:eastAsia="仿宋_GB2312"/>
          <w:sz w:val="32"/>
          <w:szCs w:val="32"/>
        </w:rPr>
      </w:pPr>
    </w:p>
    <w:p>
      <w:pPr>
        <w:snapToGrid w:val="0"/>
        <w:spacing w:line="460" w:lineRule="exact"/>
        <w:jc w:val="center"/>
        <w:rPr>
          <w:rFonts w:ascii="仿宋_GB2312" w:hAnsi="仿宋" w:eastAsia="仿宋_GB2312"/>
          <w:sz w:val="32"/>
          <w:szCs w:val="32"/>
        </w:rPr>
      </w:pPr>
      <w:r>
        <w:rPr>
          <w:rFonts w:hint="eastAsia" w:ascii="仿宋_GB2312" w:hAnsi="仿宋" w:eastAsia="仿宋_GB2312"/>
          <w:sz w:val="32"/>
          <w:szCs w:val="32"/>
        </w:rPr>
        <w:t xml:space="preserve">                                     2020年3月</w:t>
      </w:r>
      <w:r>
        <w:rPr>
          <w:rFonts w:hint="eastAsia" w:ascii="仿宋_GB2312" w:eastAsia="仿宋_GB2312" w:cs="Calibri"/>
          <w:sz w:val="32"/>
          <w:szCs w:val="32"/>
        </w:rPr>
        <w:t>  </w:t>
      </w:r>
    </w:p>
    <w:p>
      <w:pPr>
        <w:snapToGrid w:val="0"/>
        <w:spacing w:line="460" w:lineRule="exact"/>
        <w:jc w:val="right"/>
      </w:pPr>
      <w:r>
        <w:rPr>
          <w:rFonts w:hint="eastAsia" w:ascii="仿宋_GB2312" w:hAnsi="仿宋" w:eastAsia="仿宋_GB2312"/>
          <w:sz w:val="32"/>
          <w:szCs w:val="32"/>
        </w:rPr>
        <w:t>广东省教育考试院</w:t>
      </w:r>
    </w:p>
    <w:p>
      <w:pPr>
        <w:widowControl/>
        <w:snapToGrid w:val="0"/>
        <w:spacing w:line="560" w:lineRule="exact"/>
        <w:jc w:val="left"/>
        <w:rPr>
          <w:rFonts w:ascii="黑体" w:hAnsi="黑体" w:eastAsia="黑体"/>
          <w:color w:val="000000"/>
          <w:sz w:val="32"/>
          <w:szCs w:val="32"/>
        </w:rPr>
      </w:pPr>
      <w:r>
        <w:rPr>
          <w:rFonts w:ascii="仿宋" w:hAnsi="仿宋" w:eastAsia="仿宋"/>
          <w:color w:val="000000"/>
          <w:sz w:val="32"/>
          <w:szCs w:val="32"/>
        </w:rPr>
        <w:br w:type="page"/>
      </w:r>
      <w:r>
        <w:rPr>
          <w:rFonts w:ascii="黑体" w:hAnsi="黑体" w:eastAsia="黑体"/>
          <w:color w:val="000000"/>
          <w:sz w:val="32"/>
          <w:szCs w:val="32"/>
        </w:rPr>
        <w:t>附件3</w:t>
      </w:r>
    </w:p>
    <w:p>
      <w:pPr>
        <w:snapToGrid w:val="0"/>
        <w:spacing w:line="56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广东省2020年普通高等学校本科插班生</w:t>
      </w:r>
    </w:p>
    <w:p>
      <w:pPr>
        <w:snapToGrid w:val="0"/>
        <w:spacing w:line="56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补报资料承诺书</w:t>
      </w:r>
    </w:p>
    <w:p>
      <w:pPr>
        <w:snapToGrid w:val="0"/>
        <w:spacing w:line="560" w:lineRule="exact"/>
        <w:rPr>
          <w:rFonts w:ascii="仿宋" w:hAnsi="仿宋" w:eastAsia="仿宋" w:cs="仿宋"/>
          <w:sz w:val="32"/>
          <w:szCs w:val="32"/>
        </w:rPr>
      </w:pPr>
    </w:p>
    <w:p>
      <w:pPr>
        <w:snapToGrid w:val="0"/>
        <w:spacing w:line="560" w:lineRule="exact"/>
        <w:rPr>
          <w:rFonts w:ascii="仿宋_GB2312" w:hAnsi="仿宋" w:eastAsia="仿宋_GB2312" w:cs="仿宋"/>
          <w:sz w:val="32"/>
          <w:szCs w:val="32"/>
        </w:rPr>
      </w:pPr>
      <w:r>
        <w:rPr>
          <w:rFonts w:hint="eastAsia" w:ascii="仿宋" w:hAnsi="仿宋" w:eastAsia="仿宋" w:cs="仿宋"/>
          <w:sz w:val="32"/>
          <w:szCs w:val="32"/>
        </w:rPr>
        <w:t xml:space="preserve">  </w:t>
      </w:r>
      <w:r>
        <w:rPr>
          <w:rFonts w:hint="eastAsia" w:ascii="仿宋_GB2312" w:hAnsi="仿宋" w:eastAsia="仿宋_GB2312" w:cs="仿宋"/>
          <w:sz w:val="32"/>
          <w:szCs w:val="32"/>
        </w:rPr>
        <w:t xml:space="preserve">  本人在预报名时，专科学历验证未通过或未能上传相关职业资格技能证书，现郑重承诺：</w:t>
      </w:r>
    </w:p>
    <w:p>
      <w:pPr>
        <w:snapToGrid w:val="0"/>
        <w:spacing w:line="560" w:lineRule="exact"/>
        <w:rPr>
          <w:rFonts w:ascii="仿宋_GB2312" w:hAnsi="仿宋" w:eastAsia="仿宋_GB2312" w:cs="仿宋"/>
          <w:sz w:val="32"/>
          <w:szCs w:val="32"/>
        </w:rPr>
      </w:pPr>
      <w:r>
        <w:rPr>
          <w:rFonts w:hint="eastAsia" w:ascii="仿宋_GB2312" w:hAnsi="仿宋" w:eastAsia="仿宋_GB2312" w:cs="仿宋"/>
          <w:sz w:val="32"/>
          <w:szCs w:val="32"/>
        </w:rPr>
        <w:t xml:space="preserve">    一、本</w:t>
      </w:r>
      <w:r>
        <w:rPr>
          <w:rFonts w:hint="eastAsia" w:ascii="仿宋_GB2312" w:hAnsi="仿宋" w:eastAsia="仿宋_GB2312"/>
          <w:color w:val="000000"/>
          <w:sz w:val="32"/>
          <w:szCs w:val="32"/>
        </w:rPr>
        <w:t>人</w:t>
      </w:r>
      <w:r>
        <w:rPr>
          <w:rFonts w:hint="eastAsia" w:ascii="仿宋_GB2312" w:hAnsi="仿宋" w:eastAsia="仿宋_GB2312" w:cs="仿宋"/>
          <w:sz w:val="32"/>
          <w:szCs w:val="32"/>
        </w:rPr>
        <w:t>已阅读了《广东省2020年普通高等学校本科插班生招生工作规定》、《关于做好广东省2020年普通高等学校本科插班生招生考试补报名工作的通知》的有关政策和规定，承诺按规定在截止日期前（2020年本科插班生招生考试日期前10天，下同），在“广东省2020年本科插班生报名系统”上传中国高等教育学历认证报告（或教育部学历证书电子注册备案表）或中级职业资格技能证书，由招生院校审核报考资格。</w:t>
      </w:r>
    </w:p>
    <w:p>
      <w:pPr>
        <w:snapToGrid w:val="0"/>
        <w:spacing w:line="560" w:lineRule="exact"/>
        <w:ind w:firstLine="636"/>
        <w:rPr>
          <w:rFonts w:ascii="仿宋_GB2312" w:hAnsi="仿宋" w:eastAsia="仿宋_GB2312"/>
          <w:color w:val="000000"/>
          <w:sz w:val="32"/>
          <w:szCs w:val="32"/>
        </w:rPr>
      </w:pPr>
      <w:r>
        <w:rPr>
          <w:rFonts w:hint="eastAsia" w:ascii="仿宋_GB2312" w:hAnsi="仿宋" w:eastAsia="仿宋_GB2312" w:cs="仿宋"/>
          <w:sz w:val="32"/>
          <w:szCs w:val="32"/>
        </w:rPr>
        <w:t>二、若本人中国高等教育学历认证报告（或教育部学历证书电子注册备案表）或中级职业资格技能证书审核不通过,或未在截止日期前上传中国高等教育学历认证报告（或教育部学历证书电子注册备案表）或中级职业资格技能证书，同意取消本人这次的报考资格。</w:t>
      </w:r>
    </w:p>
    <w:p>
      <w:pPr>
        <w:tabs>
          <w:tab w:val="left" w:pos="5220"/>
        </w:tabs>
        <w:snapToGrid w:val="0"/>
        <w:spacing w:line="560" w:lineRule="exact"/>
        <w:rPr>
          <w:rFonts w:ascii="仿宋_GB2312" w:eastAsia="仿宋_GB2312"/>
          <w:color w:val="000000"/>
          <w:sz w:val="32"/>
          <w:szCs w:val="32"/>
        </w:rPr>
      </w:pPr>
    </w:p>
    <w:p>
      <w:pPr>
        <w:tabs>
          <w:tab w:val="left" w:pos="5220"/>
        </w:tabs>
        <w:snapToGrid w:val="0"/>
        <w:spacing w:line="560" w:lineRule="exact"/>
        <w:rPr>
          <w:rFonts w:ascii="黑体" w:eastAsia="黑体"/>
          <w:color w:val="000000"/>
          <w:sz w:val="32"/>
          <w:szCs w:val="32"/>
        </w:rPr>
      </w:pPr>
    </w:p>
    <w:p>
      <w:pPr>
        <w:tabs>
          <w:tab w:val="left" w:pos="5220"/>
        </w:tabs>
        <w:snapToGrid w:val="0"/>
        <w:spacing w:line="560" w:lineRule="exact"/>
        <w:rPr>
          <w:rFonts w:ascii="黑体" w:eastAsia="黑体"/>
          <w:color w:val="000000"/>
          <w:sz w:val="32"/>
          <w:szCs w:val="32"/>
        </w:rPr>
      </w:pPr>
    </w:p>
    <w:p>
      <w:pPr>
        <w:tabs>
          <w:tab w:val="left" w:pos="5220"/>
        </w:tabs>
        <w:snapToGrid w:val="0"/>
        <w:spacing w:line="560" w:lineRule="exact"/>
        <w:rPr>
          <w:rFonts w:ascii="黑体" w:eastAsia="黑体"/>
          <w:color w:val="000000"/>
          <w:sz w:val="32"/>
          <w:szCs w:val="32"/>
        </w:rPr>
      </w:pPr>
    </w:p>
    <w:p>
      <w:pPr>
        <w:tabs>
          <w:tab w:val="left" w:pos="5220"/>
        </w:tabs>
        <w:snapToGrid w:val="0"/>
        <w:spacing w:line="560" w:lineRule="exact"/>
        <w:rPr>
          <w:rFonts w:ascii="黑体" w:eastAsia="黑体"/>
          <w:color w:val="000000"/>
          <w:sz w:val="32"/>
          <w:szCs w:val="32"/>
        </w:rPr>
      </w:pPr>
      <w:r>
        <w:rPr>
          <w:rFonts w:hint="eastAsia" w:ascii="黑体" w:eastAsia="黑体"/>
          <w:color w:val="000000"/>
          <w:sz w:val="32"/>
          <w:szCs w:val="32"/>
        </w:rPr>
        <w:t>附件</w:t>
      </w:r>
      <w:r>
        <w:rPr>
          <w:rFonts w:ascii="黑体" w:eastAsia="黑体"/>
          <w:color w:val="000000"/>
          <w:sz w:val="32"/>
          <w:szCs w:val="32"/>
        </w:rPr>
        <w:t>4</w:t>
      </w:r>
    </w:p>
    <w:p>
      <w:pPr>
        <w:snapToGrid w:val="0"/>
        <w:spacing w:line="56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广东省2020年普通高等学校本科插班生考生</w:t>
      </w:r>
    </w:p>
    <w:p>
      <w:pPr>
        <w:snapToGrid w:val="0"/>
        <w:spacing w:line="56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专科毕业学历验证方式及注意事项</w:t>
      </w:r>
    </w:p>
    <w:p>
      <w:pPr>
        <w:snapToGrid w:val="0"/>
        <w:spacing w:line="540" w:lineRule="exact"/>
        <w:rPr>
          <w:color w:val="000000"/>
          <w:sz w:val="30"/>
          <w:szCs w:val="30"/>
        </w:rPr>
      </w:pPr>
    </w:p>
    <w:p>
      <w:pPr>
        <w:snapToGrid w:val="0"/>
        <w:spacing w:line="54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一、考生专科毕业学历验证方法</w:t>
      </w:r>
    </w:p>
    <w:p>
      <w:pPr>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（一）考生在预报名时自行在“广东省2020年本科插班生报名系统”中验证专科学历。“广东省2020年本科插班生报名系统”（网址：http://</w:t>
      </w:r>
      <w:r>
        <w:fldChar w:fldCharType="begin"/>
      </w:r>
      <w:r>
        <w:instrText xml:space="preserve"> HYPERLINK "http://www.ecogd.edu.cn/" </w:instrText>
      </w:r>
      <w:r>
        <w:fldChar w:fldCharType="separate"/>
      </w:r>
      <w:r>
        <w:rPr>
          <w:rStyle w:val="9"/>
          <w:rFonts w:hint="eastAsia" w:ascii="仿宋_GB2312" w:hAnsi="仿宋" w:eastAsia="仿宋_GB2312"/>
          <w:color w:val="auto"/>
          <w:sz w:val="32"/>
          <w:szCs w:val="32"/>
          <w:u w:val="none"/>
        </w:rPr>
        <w:t>www.eeagd.edu.cn/</w:t>
      </w:r>
      <w:r>
        <w:rPr>
          <w:rStyle w:val="9"/>
          <w:rFonts w:hint="eastAsia" w:ascii="仿宋_GB2312" w:hAnsi="仿宋" w:eastAsia="仿宋_GB2312"/>
          <w:color w:val="auto"/>
          <w:sz w:val="32"/>
          <w:szCs w:val="32"/>
          <w:u w:val="none"/>
        </w:rPr>
        <w:fldChar w:fldCharType="end"/>
      </w:r>
      <w:r>
        <w:rPr>
          <w:rStyle w:val="9"/>
          <w:rFonts w:hint="eastAsia" w:ascii="仿宋_GB2312" w:hAnsi="仿宋" w:eastAsia="仿宋_GB2312"/>
          <w:color w:val="000000"/>
          <w:sz w:val="32"/>
          <w:szCs w:val="32"/>
          <w:u w:val="none"/>
        </w:rPr>
        <w:t>bcks</w:t>
      </w:r>
      <w:r>
        <w:rPr>
          <w:rFonts w:hint="eastAsia" w:ascii="仿宋_GB2312" w:hAnsi="仿宋" w:eastAsia="仿宋_GB2312"/>
          <w:color w:val="000000"/>
          <w:sz w:val="32"/>
          <w:szCs w:val="32"/>
        </w:rPr>
        <w:t>）具有“专科学历验证”功能。已取得专科毕业证的考生在预报名过程中可自行进行专科学历验证，由报名系统自动反馈验证结果。该项专科学历验证功能仅限于已取得专科毕业证的考生进行在线学历验证。</w:t>
      </w:r>
    </w:p>
    <w:p>
      <w:pPr>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对属1991年以前毕业的专科毕业生或在报名系统中确实无法查询到验证结果的考生，考生须自行前往学信网（https://www.chsi.com.cn/xlrz/index.jsp）网上申请专科学历认证，并在规定时间内在报名系统中上传相关验证结果材料。</w:t>
      </w:r>
    </w:p>
    <w:p>
      <w:pPr>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（三）招生院校在审核考生报名资料时可根据考生预报名时专科学历验证的结果，进行下一步审核操作：</w:t>
      </w:r>
    </w:p>
    <w:p>
      <w:pPr>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1.考生在报名系统进行专科学历验证结果为“通过”的，招生院校可直接审核考生上传的其他资料，并设置审核结果。</w:t>
      </w:r>
    </w:p>
    <w:p>
      <w:pPr>
        <w:snapToGrid w:val="0"/>
        <w:spacing w:line="540" w:lineRule="exact"/>
        <w:rPr>
          <w:rFonts w:ascii="仿宋_GB2312" w:hAnsi="仿宋" w:eastAsia="仿宋_GB2312"/>
          <w:color w:val="000000"/>
          <w:sz w:val="32"/>
          <w:szCs w:val="32"/>
        </w:rPr>
      </w:pPr>
      <w:r>
        <w:rPr>
          <w:rFonts w:hint="eastAsia" w:ascii="仿宋_GB2312" w:hAnsi="仿宋" w:eastAsia="仿宋_GB2312"/>
          <w:color w:val="000000"/>
          <w:sz w:val="32"/>
          <w:szCs w:val="32"/>
        </w:rPr>
        <w:t xml:space="preserve">    2.考生在报名系统进行专科学历验证结果为“不通过”的，但考生上传了“中国高等教育学历认证报告”（或“教育部学历证书电子注册备案表”），招生院校可在审核资料时通过登录学信网的“认证报告查询”（网址：</w:t>
      </w:r>
      <w:r>
        <w:fldChar w:fldCharType="begin"/>
      </w:r>
      <w:r>
        <w:instrText xml:space="preserve"> HYPERLINK "http://www.chsi.com.cn/xlrz/report_gdjyxl.jsp），输入考生提交的" </w:instrText>
      </w:r>
      <w:r>
        <w:fldChar w:fldCharType="separate"/>
      </w:r>
      <w:r>
        <w:rPr>
          <w:rStyle w:val="9"/>
          <w:rFonts w:hint="eastAsia" w:ascii="仿宋_GB2312" w:hAnsi="仿宋" w:eastAsia="仿宋_GB2312"/>
          <w:color w:val="000000"/>
          <w:sz w:val="32"/>
          <w:szCs w:val="32"/>
          <w:u w:val="none"/>
        </w:rPr>
        <w:t>http://www.chsi.com.cn/xlrz/index.jsp），输入考生上传的“中国高等教育学历认证报告”</w:t>
      </w:r>
      <w:r>
        <w:rPr>
          <w:rFonts w:hint="eastAsia" w:ascii="仿宋_GB2312" w:hAnsi="仿宋" w:eastAsia="仿宋_GB2312"/>
          <w:color w:val="000000"/>
          <w:sz w:val="32"/>
          <w:szCs w:val="32"/>
        </w:rPr>
        <w:t>（或“教育部学历证书电子注册备案表”）</w:t>
      </w:r>
      <w:r>
        <w:rPr>
          <w:rStyle w:val="9"/>
          <w:rFonts w:hint="eastAsia" w:ascii="仿宋_GB2312" w:hAnsi="仿宋" w:eastAsia="仿宋_GB2312"/>
          <w:color w:val="000000"/>
          <w:sz w:val="32"/>
          <w:szCs w:val="32"/>
          <w:u w:val="none"/>
        </w:rPr>
        <w:t>上的证书编号及报告编号、在线验证码核查考生的专科学历情况，根据核查结果在报名系统中点击“人工验证专科学历”，对专科学历核查属实的考生进行人工标识设置。</w:t>
      </w:r>
      <w:r>
        <w:rPr>
          <w:rStyle w:val="9"/>
          <w:rFonts w:hint="eastAsia" w:ascii="仿宋_GB2312" w:hAnsi="仿宋" w:eastAsia="仿宋_GB2312"/>
          <w:color w:val="000000"/>
          <w:sz w:val="32"/>
          <w:szCs w:val="32"/>
          <w:u w:val="none"/>
        </w:rPr>
        <w:fldChar w:fldCharType="end"/>
      </w:r>
    </w:p>
    <w:p>
      <w:pPr>
        <w:snapToGrid w:val="0"/>
        <w:spacing w:line="540" w:lineRule="exact"/>
        <w:ind w:firstLine="660"/>
        <w:outlineLvl w:val="0"/>
        <w:rPr>
          <w:rFonts w:ascii="仿宋_GB2312" w:hAnsi="仿宋" w:eastAsia="仿宋_GB2312"/>
          <w:color w:val="000000"/>
          <w:sz w:val="32"/>
          <w:szCs w:val="32"/>
        </w:rPr>
      </w:pPr>
      <w:r>
        <w:rPr>
          <w:rFonts w:hint="eastAsia" w:ascii="仿宋_GB2312" w:hAnsi="仿宋" w:eastAsia="仿宋_GB2312"/>
          <w:color w:val="000000"/>
          <w:sz w:val="32"/>
          <w:szCs w:val="32"/>
        </w:rPr>
        <w:t>（四）若考生无法在报名系统中通过专科学历验证，也未及时办理“中国高等教育学历认证报告”（或“教育部学历证书电子注册备案表”），但考生在“申请补学历认证报告”中签订了“补报资料承诺书”的，招生院校可以在报名系统中点击“待验证专科毕业证书”将考生设置为“待验证”</w:t>
      </w:r>
      <w:r>
        <w:rPr>
          <w:rFonts w:hint="eastAsia" w:ascii="仿宋_GB2312" w:hAnsi="仿宋" w:eastAsia="仿宋_GB2312"/>
          <w:b/>
          <w:color w:val="000000"/>
          <w:sz w:val="32"/>
          <w:szCs w:val="32"/>
        </w:rPr>
        <w:t>。</w:t>
      </w:r>
    </w:p>
    <w:p>
      <w:pPr>
        <w:snapToGrid w:val="0"/>
        <w:spacing w:line="54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二、招生院校工作人员验证注意事项</w:t>
      </w:r>
    </w:p>
    <w:p>
      <w:pPr>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对在报名系统中因错误输入造成验证结果为“不通过”的考生，考生可将专科毕业证书等相关资料邮寄报考的招生院校，由招生院校在报名系统中重新在线验证，要注意核对报考本科插班生考生的姓名、身份证号、专科毕业证书编号、毕业学校、毕业时间，剔除因输入有误、全角字符等造成的错误，确保考生验证顺利完成。</w:t>
      </w:r>
    </w:p>
    <w:p>
      <w:pPr>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（二）对按规定须考生补充上传相关资料的，招生院校必须待考生在规定时间内上传资料后，认真审核考生的资料，并操作“人工验证通过”，确定考生上传的资料符合报考的相关规定。</w:t>
      </w:r>
    </w:p>
    <w:p>
      <w:pPr>
        <w:spacing w:line="520" w:lineRule="exact"/>
        <w:ind w:firstLine="640" w:firstLineChars="200"/>
        <w:rPr>
          <w:rFonts w:ascii="仿宋_GB2312" w:hAnsi="仿宋" w:eastAsia="仿宋_GB2312"/>
          <w:color w:val="000000"/>
          <w:sz w:val="32"/>
          <w:szCs w:val="32"/>
        </w:rPr>
        <w:sectPr>
          <w:pgSz w:w="11850" w:h="16783"/>
          <w:pgMar w:top="2098" w:right="1474" w:bottom="1985" w:left="1588" w:header="851" w:footer="992" w:gutter="0"/>
          <w:cols w:space="720" w:num="1"/>
          <w:titlePg/>
          <w:docGrid w:type="lines" w:linePitch="312" w:charSpace="0"/>
        </w:sectPr>
      </w:pPr>
    </w:p>
    <w:p>
      <w:pPr>
        <w:tabs>
          <w:tab w:val="left" w:pos="5220"/>
        </w:tabs>
        <w:spacing w:line="520" w:lineRule="exact"/>
        <w:rPr>
          <w:rFonts w:ascii="黑体" w:eastAsia="黑体"/>
          <w:color w:val="000000"/>
          <w:sz w:val="32"/>
          <w:szCs w:val="32"/>
        </w:rPr>
      </w:pPr>
      <w:r>
        <w:rPr>
          <w:rFonts w:hint="eastAsia" w:ascii="黑体" w:eastAsia="黑体"/>
          <w:color w:val="000000"/>
          <w:sz w:val="32"/>
          <w:szCs w:val="32"/>
        </w:rPr>
        <w:t>附件</w:t>
      </w:r>
      <w:r>
        <w:rPr>
          <w:rFonts w:ascii="黑体" w:eastAsia="黑体"/>
          <w:color w:val="000000"/>
          <w:sz w:val="32"/>
          <w:szCs w:val="32"/>
        </w:rPr>
        <w:t>5</w:t>
      </w:r>
    </w:p>
    <w:p>
      <w:pPr>
        <w:tabs>
          <w:tab w:val="left" w:pos="1800"/>
        </w:tabs>
        <w:spacing w:line="560" w:lineRule="exact"/>
        <w:jc w:val="center"/>
        <w:rPr>
          <w:rFonts w:ascii="仿宋_GB2312" w:eastAsia="仿宋_GB2312"/>
          <w:bCs/>
          <w:sz w:val="36"/>
          <w:szCs w:val="36"/>
        </w:rPr>
      </w:pPr>
      <w:r>
        <w:rPr>
          <w:rFonts w:hint="eastAsia" w:ascii="方正小标宋简体" w:eastAsia="方正小标宋简体"/>
          <w:bCs/>
          <w:sz w:val="36"/>
          <w:szCs w:val="36"/>
        </w:rPr>
        <w:t>2020年广东省普通高等学校本科插班生招生体格检查表</w:t>
      </w:r>
    </w:p>
    <w:p>
      <w:pPr>
        <w:jc w:val="center"/>
        <w:rPr>
          <w:rFonts w:ascii="仿宋_GB2312" w:eastAsia="仿宋_GB2312"/>
          <w:sz w:val="24"/>
        </w:rPr>
      </w:pPr>
      <w:r>
        <w:rPr>
          <w:rFonts w:hint="eastAsia" w:ascii="仿宋_GB2312" w:eastAsia="仿宋_GB2312"/>
          <w:b/>
          <w:sz w:val="24"/>
        </w:rPr>
        <w:t xml:space="preserve">   </w:t>
      </w:r>
      <w:r>
        <w:rPr>
          <w:rFonts w:hint="eastAsia" w:ascii="仿宋_GB2312" w:eastAsia="仿宋_GB2312"/>
          <w:sz w:val="24"/>
        </w:rPr>
        <w:t xml:space="preserve">                                      </w:t>
      </w:r>
    </w:p>
    <w:p>
      <w:pPr>
        <w:jc w:val="center"/>
        <w:rPr>
          <w:rFonts w:ascii="仿宋_GB2312" w:eastAsia="仿宋_GB2312"/>
          <w:sz w:val="24"/>
          <w:u w:val="single"/>
        </w:rPr>
      </w:pPr>
      <w:r>
        <w:rPr>
          <w:rFonts w:hint="eastAsia" w:ascii="仿宋_GB2312" w:eastAsia="仿宋_GB2312"/>
          <w:sz w:val="24"/>
        </w:rPr>
        <w:t xml:space="preserve">                                        准考证号：</w:t>
      </w:r>
      <w:r>
        <w:rPr>
          <w:rFonts w:hint="eastAsia" w:ascii="仿宋_GB2312" w:eastAsia="仿宋_GB2312"/>
          <w:sz w:val="24"/>
          <w:u w:val="single"/>
        </w:rPr>
        <w:t xml:space="preserve">                </w:t>
      </w:r>
    </w:p>
    <w:p>
      <w:pPr>
        <w:jc w:val="center"/>
        <w:rPr>
          <w:rFonts w:ascii="仿宋_GB2312" w:eastAsia="仿宋_GB2312"/>
          <w:sz w:val="24"/>
          <w:u w:val="single"/>
        </w:rPr>
      </w:pPr>
    </w:p>
    <w:p>
      <w:pPr>
        <w:rPr>
          <w:rFonts w:ascii="仿宋_GB2312" w:eastAsia="仿宋_GB2312"/>
          <w:sz w:val="24"/>
          <w:u w:val="single"/>
        </w:rPr>
      </w:pPr>
      <w:r>
        <w:rPr>
          <w:rFonts w:hint="eastAsia" w:ascii="仿宋_GB2312" w:eastAsia="仿宋_GB2312"/>
          <w:sz w:val="24"/>
        </w:rPr>
        <w:t>市</w:t>
      </w:r>
      <w:r>
        <w:rPr>
          <w:rFonts w:hint="eastAsia" w:ascii="仿宋_GB2312" w:eastAsia="仿宋_GB2312"/>
          <w:sz w:val="24"/>
          <w:u w:val="single"/>
        </w:rPr>
        <w:t xml:space="preserve">              </w:t>
      </w:r>
      <w:r>
        <w:rPr>
          <w:rFonts w:hint="eastAsia" w:ascii="仿宋_GB2312" w:eastAsia="仿宋_GB2312"/>
          <w:sz w:val="24"/>
        </w:rPr>
        <w:t>县（市、区）</w:t>
      </w:r>
      <w:r>
        <w:rPr>
          <w:rFonts w:hint="eastAsia" w:ascii="仿宋_GB2312" w:eastAsia="仿宋_GB2312"/>
          <w:sz w:val="24"/>
          <w:u w:val="single"/>
        </w:rPr>
        <w:t xml:space="preserve">              </w:t>
      </w:r>
      <w:r>
        <w:rPr>
          <w:rFonts w:hint="eastAsia" w:ascii="仿宋_GB2312" w:eastAsia="仿宋_GB2312"/>
          <w:sz w:val="24"/>
        </w:rPr>
        <w:t xml:space="preserve">        考生签名：</w:t>
      </w:r>
      <w:r>
        <w:rPr>
          <w:rFonts w:hint="eastAsia" w:ascii="仿宋_GB2312" w:eastAsia="仿宋_GB2312"/>
          <w:sz w:val="24"/>
          <w:u w:val="single"/>
        </w:rPr>
        <w:t xml:space="preserve">              </w:t>
      </w:r>
    </w:p>
    <w:p>
      <w:pPr>
        <w:rPr>
          <w:rFonts w:ascii="仿宋_GB2312" w:eastAsia="仿宋_GB2312"/>
          <w:szCs w:val="21"/>
          <w:u w:val="single"/>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714"/>
        <w:gridCol w:w="366"/>
        <w:gridCol w:w="360"/>
        <w:gridCol w:w="239"/>
        <w:gridCol w:w="121"/>
        <w:gridCol w:w="360"/>
        <w:gridCol w:w="20"/>
        <w:gridCol w:w="39"/>
        <w:gridCol w:w="301"/>
        <w:gridCol w:w="180"/>
        <w:gridCol w:w="540"/>
        <w:gridCol w:w="59"/>
        <w:gridCol w:w="121"/>
        <w:gridCol w:w="239"/>
        <w:gridCol w:w="661"/>
        <w:gridCol w:w="180"/>
        <w:gridCol w:w="180"/>
        <w:gridCol w:w="1080"/>
        <w:gridCol w:w="800"/>
        <w:gridCol w:w="1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4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姓名</w:t>
            </w:r>
          </w:p>
        </w:tc>
        <w:tc>
          <w:tcPr>
            <w:tcW w:w="1440" w:type="dxa"/>
            <w:gridSpan w:val="3"/>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779" w:type="dxa"/>
            <w:gridSpan w:val="5"/>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性别</w:t>
            </w:r>
          </w:p>
        </w:tc>
        <w:tc>
          <w:tcPr>
            <w:tcW w:w="1021" w:type="dxa"/>
            <w:gridSpan w:val="3"/>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080" w:type="dxa"/>
            <w:gridSpan w:val="4"/>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出生</w:t>
            </w:r>
          </w:p>
        </w:tc>
        <w:tc>
          <w:tcPr>
            <w:tcW w:w="2240" w:type="dxa"/>
            <w:gridSpan w:val="4"/>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xml:space="preserve">   年  月  日</w:t>
            </w:r>
          </w:p>
        </w:tc>
        <w:tc>
          <w:tcPr>
            <w:tcW w:w="1913" w:type="dxa"/>
            <w:vMerge w:val="restart"/>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半身一寸</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脱帽相片</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体检医院</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体检章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24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文化程度</w:t>
            </w:r>
          </w:p>
        </w:tc>
        <w:tc>
          <w:tcPr>
            <w:tcW w:w="1080" w:type="dxa"/>
            <w:gridSpan w:val="2"/>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720" w:type="dxa"/>
            <w:gridSpan w:val="3"/>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民族</w:t>
            </w:r>
          </w:p>
        </w:tc>
        <w:tc>
          <w:tcPr>
            <w:tcW w:w="900" w:type="dxa"/>
            <w:gridSpan w:val="5"/>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959" w:type="dxa"/>
            <w:gridSpan w:val="4"/>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职业</w:t>
            </w:r>
          </w:p>
        </w:tc>
        <w:tc>
          <w:tcPr>
            <w:tcW w:w="1021" w:type="dxa"/>
            <w:gridSpan w:val="3"/>
            <w:vAlign w:val="center"/>
          </w:tcPr>
          <w:p>
            <w:pPr>
              <w:widowControl/>
              <w:jc w:val="center"/>
              <w:rPr>
                <w:rFonts w:ascii="仿宋_GB2312" w:hAnsi="宋体" w:eastAsia="仿宋_GB2312" w:cs="宋体"/>
                <w:kern w:val="0"/>
                <w:szCs w:val="21"/>
              </w:rPr>
            </w:pPr>
          </w:p>
        </w:tc>
        <w:tc>
          <w:tcPr>
            <w:tcW w:w="1080" w:type="dxa"/>
            <w:vAlign w:val="center"/>
          </w:tcPr>
          <w:p>
            <w:pPr>
              <w:widowControl/>
              <w:ind w:firstLine="105" w:firstLineChars="50"/>
              <w:jc w:val="left"/>
              <w:rPr>
                <w:rFonts w:ascii="仿宋_GB2312" w:hAnsi="宋体" w:eastAsia="仿宋_GB2312" w:cs="宋体"/>
                <w:kern w:val="0"/>
                <w:szCs w:val="21"/>
              </w:rPr>
            </w:pPr>
            <w:r>
              <w:rPr>
                <w:rFonts w:hint="eastAsia" w:ascii="仿宋_GB2312" w:hAnsi="宋体" w:eastAsia="仿宋_GB2312" w:cs="宋体"/>
                <w:kern w:val="0"/>
                <w:szCs w:val="21"/>
              </w:rPr>
              <w:t>婚否</w:t>
            </w:r>
          </w:p>
        </w:tc>
        <w:tc>
          <w:tcPr>
            <w:tcW w:w="800" w:type="dxa"/>
            <w:vAlign w:val="center"/>
          </w:tcPr>
          <w:p>
            <w:pPr>
              <w:widowControl/>
              <w:jc w:val="left"/>
              <w:rPr>
                <w:rFonts w:ascii="仿宋_GB2312" w:hAnsi="宋体" w:eastAsia="仿宋_GB2312" w:cs="宋体"/>
                <w:kern w:val="0"/>
                <w:szCs w:val="21"/>
              </w:rPr>
            </w:pPr>
          </w:p>
        </w:tc>
        <w:tc>
          <w:tcPr>
            <w:tcW w:w="1913"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4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籍贯</w:t>
            </w:r>
          </w:p>
        </w:tc>
        <w:tc>
          <w:tcPr>
            <w:tcW w:w="714"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466" w:type="dxa"/>
            <w:gridSpan w:val="6"/>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xml:space="preserve"> 现住所及           通讯处</w:t>
            </w:r>
          </w:p>
        </w:tc>
        <w:tc>
          <w:tcPr>
            <w:tcW w:w="4380" w:type="dxa"/>
            <w:gridSpan w:val="12"/>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13"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24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原毕业学校或工作单位</w:t>
            </w:r>
          </w:p>
        </w:tc>
        <w:tc>
          <w:tcPr>
            <w:tcW w:w="6560" w:type="dxa"/>
            <w:gridSpan w:val="19"/>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13"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24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既往病史</w:t>
            </w:r>
          </w:p>
        </w:tc>
        <w:tc>
          <w:tcPr>
            <w:tcW w:w="6560" w:type="dxa"/>
            <w:gridSpan w:val="19"/>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13"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720" w:type="dxa"/>
            <w:gridSpan w:val="21"/>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（以上由考生本人如实填写）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247" w:type="dxa"/>
            <w:vMerge w:val="restart"/>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眼科</w:t>
            </w:r>
          </w:p>
        </w:tc>
        <w:tc>
          <w:tcPr>
            <w:tcW w:w="1080" w:type="dxa"/>
            <w:gridSpan w:val="2"/>
            <w:vMerge w:val="restart"/>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裸眼视力</w:t>
            </w:r>
          </w:p>
        </w:tc>
        <w:tc>
          <w:tcPr>
            <w:tcW w:w="1100" w:type="dxa"/>
            <w:gridSpan w:val="5"/>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右</w:t>
            </w:r>
          </w:p>
        </w:tc>
        <w:tc>
          <w:tcPr>
            <w:tcW w:w="1119" w:type="dxa"/>
            <w:gridSpan w:val="5"/>
            <w:vMerge w:val="restart"/>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矫正视力</w:t>
            </w:r>
          </w:p>
        </w:tc>
        <w:tc>
          <w:tcPr>
            <w:tcW w:w="3261" w:type="dxa"/>
            <w:gridSpan w:val="7"/>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右      矫正度数：</w:t>
            </w:r>
          </w:p>
        </w:tc>
        <w:tc>
          <w:tcPr>
            <w:tcW w:w="1913" w:type="dxa"/>
            <w:vMerge w:val="restart"/>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医师意见</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（签字）</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1.眼   科</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2.耳鼻喉科</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3.口腔科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247" w:type="dxa"/>
            <w:vMerge w:val="continue"/>
            <w:vAlign w:val="center"/>
          </w:tcPr>
          <w:p>
            <w:pPr>
              <w:widowControl/>
              <w:jc w:val="left"/>
              <w:rPr>
                <w:rFonts w:ascii="仿宋_GB2312" w:hAnsi="宋体" w:eastAsia="仿宋_GB2312" w:cs="宋体"/>
                <w:kern w:val="0"/>
                <w:szCs w:val="21"/>
              </w:rPr>
            </w:pPr>
          </w:p>
        </w:tc>
        <w:tc>
          <w:tcPr>
            <w:tcW w:w="1080" w:type="dxa"/>
            <w:gridSpan w:val="2"/>
            <w:vMerge w:val="continue"/>
            <w:vAlign w:val="center"/>
          </w:tcPr>
          <w:p>
            <w:pPr>
              <w:widowControl/>
              <w:jc w:val="left"/>
              <w:rPr>
                <w:rFonts w:ascii="仿宋_GB2312" w:hAnsi="宋体" w:eastAsia="仿宋_GB2312" w:cs="宋体"/>
                <w:kern w:val="0"/>
                <w:szCs w:val="21"/>
              </w:rPr>
            </w:pPr>
          </w:p>
        </w:tc>
        <w:tc>
          <w:tcPr>
            <w:tcW w:w="1100" w:type="dxa"/>
            <w:gridSpan w:val="5"/>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左</w:t>
            </w:r>
          </w:p>
        </w:tc>
        <w:tc>
          <w:tcPr>
            <w:tcW w:w="1119" w:type="dxa"/>
            <w:gridSpan w:val="5"/>
            <w:vMerge w:val="continue"/>
            <w:vAlign w:val="center"/>
          </w:tcPr>
          <w:p>
            <w:pPr>
              <w:widowControl/>
              <w:jc w:val="left"/>
              <w:rPr>
                <w:rFonts w:ascii="仿宋_GB2312" w:hAnsi="宋体" w:eastAsia="仿宋_GB2312" w:cs="宋体"/>
                <w:kern w:val="0"/>
                <w:szCs w:val="21"/>
              </w:rPr>
            </w:pPr>
          </w:p>
        </w:tc>
        <w:tc>
          <w:tcPr>
            <w:tcW w:w="3261" w:type="dxa"/>
            <w:gridSpan w:val="7"/>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左      矫正度数：</w:t>
            </w:r>
          </w:p>
        </w:tc>
        <w:tc>
          <w:tcPr>
            <w:tcW w:w="1913"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47" w:type="dxa"/>
            <w:vMerge w:val="continue"/>
            <w:vAlign w:val="center"/>
          </w:tcPr>
          <w:p>
            <w:pPr>
              <w:widowControl/>
              <w:jc w:val="left"/>
              <w:rPr>
                <w:rFonts w:ascii="仿宋_GB2312" w:hAnsi="宋体" w:eastAsia="仿宋_GB2312" w:cs="宋体"/>
                <w:kern w:val="0"/>
                <w:szCs w:val="21"/>
              </w:rPr>
            </w:pPr>
          </w:p>
        </w:tc>
        <w:tc>
          <w:tcPr>
            <w:tcW w:w="714" w:type="dxa"/>
            <w:vMerge w:val="restart"/>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其他眼病</w:t>
            </w:r>
          </w:p>
        </w:tc>
        <w:tc>
          <w:tcPr>
            <w:tcW w:w="1466" w:type="dxa"/>
            <w:gridSpan w:val="6"/>
            <w:vMerge w:val="restart"/>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19" w:type="dxa"/>
            <w:gridSpan w:val="5"/>
            <w:vMerge w:val="restart"/>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色觉检查</w:t>
            </w:r>
          </w:p>
        </w:tc>
        <w:tc>
          <w:tcPr>
            <w:tcW w:w="3261" w:type="dxa"/>
            <w:gridSpan w:val="7"/>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彩色图案及编码：               正常□ 色弱□ 色盲□ 全色盲□</w:t>
            </w:r>
          </w:p>
        </w:tc>
        <w:tc>
          <w:tcPr>
            <w:tcW w:w="1913"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47" w:type="dxa"/>
            <w:vMerge w:val="continue"/>
            <w:vAlign w:val="center"/>
          </w:tcPr>
          <w:p>
            <w:pPr>
              <w:widowControl/>
              <w:jc w:val="left"/>
              <w:rPr>
                <w:rFonts w:ascii="仿宋_GB2312" w:hAnsi="宋体" w:eastAsia="仿宋_GB2312" w:cs="宋体"/>
                <w:kern w:val="0"/>
                <w:szCs w:val="21"/>
              </w:rPr>
            </w:pPr>
          </w:p>
        </w:tc>
        <w:tc>
          <w:tcPr>
            <w:tcW w:w="714" w:type="dxa"/>
            <w:vMerge w:val="continue"/>
            <w:vAlign w:val="center"/>
          </w:tcPr>
          <w:p>
            <w:pPr>
              <w:widowControl/>
              <w:jc w:val="left"/>
              <w:rPr>
                <w:rFonts w:ascii="仿宋_GB2312" w:hAnsi="宋体" w:eastAsia="仿宋_GB2312" w:cs="宋体"/>
                <w:kern w:val="0"/>
                <w:szCs w:val="21"/>
              </w:rPr>
            </w:pPr>
          </w:p>
        </w:tc>
        <w:tc>
          <w:tcPr>
            <w:tcW w:w="1466" w:type="dxa"/>
            <w:gridSpan w:val="6"/>
            <w:vMerge w:val="continue"/>
            <w:vAlign w:val="center"/>
          </w:tcPr>
          <w:p>
            <w:pPr>
              <w:widowControl/>
              <w:jc w:val="left"/>
              <w:rPr>
                <w:rFonts w:ascii="仿宋_GB2312" w:hAnsi="宋体" w:eastAsia="仿宋_GB2312" w:cs="宋体"/>
                <w:kern w:val="0"/>
                <w:szCs w:val="21"/>
              </w:rPr>
            </w:pPr>
          </w:p>
        </w:tc>
        <w:tc>
          <w:tcPr>
            <w:tcW w:w="1119" w:type="dxa"/>
            <w:gridSpan w:val="5"/>
            <w:vMerge w:val="continue"/>
            <w:vAlign w:val="center"/>
          </w:tcPr>
          <w:p>
            <w:pPr>
              <w:widowControl/>
              <w:jc w:val="left"/>
              <w:rPr>
                <w:rFonts w:ascii="仿宋_GB2312" w:hAnsi="宋体" w:eastAsia="仿宋_GB2312" w:cs="宋体"/>
                <w:kern w:val="0"/>
                <w:szCs w:val="21"/>
              </w:rPr>
            </w:pPr>
          </w:p>
        </w:tc>
        <w:tc>
          <w:tcPr>
            <w:tcW w:w="3261" w:type="dxa"/>
            <w:gridSpan w:val="7"/>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xml:space="preserve">单颜色识别：                </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 xml:space="preserve"> 红□ 绿□ 紫□ 蓝□ 黄□</w:t>
            </w:r>
          </w:p>
        </w:tc>
        <w:tc>
          <w:tcPr>
            <w:tcW w:w="1913"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47" w:type="dxa"/>
            <w:vMerge w:val="restart"/>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耳鼻喉科</w:t>
            </w:r>
          </w:p>
        </w:tc>
        <w:tc>
          <w:tcPr>
            <w:tcW w:w="714" w:type="dxa"/>
            <w:vMerge w:val="restart"/>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听力</w:t>
            </w:r>
          </w:p>
        </w:tc>
        <w:tc>
          <w:tcPr>
            <w:tcW w:w="1466" w:type="dxa"/>
            <w:gridSpan w:val="6"/>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右     公尺</w:t>
            </w:r>
          </w:p>
        </w:tc>
        <w:tc>
          <w:tcPr>
            <w:tcW w:w="1119" w:type="dxa"/>
            <w:gridSpan w:val="5"/>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嗅觉</w:t>
            </w:r>
          </w:p>
        </w:tc>
        <w:tc>
          <w:tcPr>
            <w:tcW w:w="3261" w:type="dxa"/>
            <w:gridSpan w:val="7"/>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正常□ 迟钝□ 丧失□</w:t>
            </w:r>
          </w:p>
        </w:tc>
        <w:tc>
          <w:tcPr>
            <w:tcW w:w="1913"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247" w:type="dxa"/>
            <w:vMerge w:val="continue"/>
            <w:vAlign w:val="center"/>
          </w:tcPr>
          <w:p>
            <w:pPr>
              <w:widowControl/>
              <w:jc w:val="left"/>
              <w:rPr>
                <w:rFonts w:ascii="仿宋_GB2312" w:hAnsi="宋体" w:eastAsia="仿宋_GB2312" w:cs="宋体"/>
                <w:kern w:val="0"/>
                <w:szCs w:val="21"/>
              </w:rPr>
            </w:pPr>
          </w:p>
        </w:tc>
        <w:tc>
          <w:tcPr>
            <w:tcW w:w="714" w:type="dxa"/>
            <w:vMerge w:val="continue"/>
            <w:vAlign w:val="center"/>
          </w:tcPr>
          <w:p>
            <w:pPr>
              <w:widowControl/>
              <w:jc w:val="left"/>
              <w:rPr>
                <w:rFonts w:ascii="仿宋_GB2312" w:hAnsi="宋体" w:eastAsia="仿宋_GB2312" w:cs="宋体"/>
                <w:kern w:val="0"/>
                <w:szCs w:val="21"/>
              </w:rPr>
            </w:pPr>
          </w:p>
        </w:tc>
        <w:tc>
          <w:tcPr>
            <w:tcW w:w="1466" w:type="dxa"/>
            <w:gridSpan w:val="6"/>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左     公尺</w:t>
            </w:r>
          </w:p>
        </w:tc>
        <w:tc>
          <w:tcPr>
            <w:tcW w:w="1119" w:type="dxa"/>
            <w:gridSpan w:val="5"/>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耳鼻咽喉</w:t>
            </w:r>
          </w:p>
        </w:tc>
        <w:tc>
          <w:tcPr>
            <w:tcW w:w="3261" w:type="dxa"/>
            <w:gridSpan w:val="7"/>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正常□ 异常□</w:t>
            </w:r>
          </w:p>
        </w:tc>
        <w:tc>
          <w:tcPr>
            <w:tcW w:w="1913"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247" w:type="dxa"/>
            <w:vMerge w:val="continue"/>
            <w:vAlign w:val="center"/>
          </w:tcPr>
          <w:p>
            <w:pPr>
              <w:widowControl/>
              <w:jc w:val="left"/>
              <w:rPr>
                <w:rFonts w:ascii="仿宋_GB2312" w:hAnsi="宋体" w:eastAsia="仿宋_GB2312" w:cs="宋体"/>
                <w:kern w:val="0"/>
                <w:szCs w:val="21"/>
              </w:rPr>
            </w:pPr>
          </w:p>
        </w:tc>
        <w:tc>
          <w:tcPr>
            <w:tcW w:w="1679" w:type="dxa"/>
            <w:gridSpan w:val="4"/>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耳鼻喉科异常</w:t>
            </w:r>
          </w:p>
        </w:tc>
        <w:tc>
          <w:tcPr>
            <w:tcW w:w="4881" w:type="dxa"/>
            <w:gridSpan w:val="15"/>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13"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247" w:type="dxa"/>
            <w:vMerge w:val="restart"/>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口腔科</w:t>
            </w:r>
          </w:p>
        </w:tc>
        <w:tc>
          <w:tcPr>
            <w:tcW w:w="2520" w:type="dxa"/>
            <w:gridSpan w:val="9"/>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唇腭：正常□ 异常□</w:t>
            </w:r>
          </w:p>
        </w:tc>
        <w:tc>
          <w:tcPr>
            <w:tcW w:w="4040" w:type="dxa"/>
            <w:gridSpan w:val="10"/>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牙齿：正常□ 异常□</w:t>
            </w:r>
          </w:p>
        </w:tc>
        <w:tc>
          <w:tcPr>
            <w:tcW w:w="1913"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7" w:type="dxa"/>
            <w:vMerge w:val="continue"/>
            <w:vAlign w:val="center"/>
          </w:tcPr>
          <w:p>
            <w:pPr>
              <w:widowControl/>
              <w:jc w:val="left"/>
              <w:rPr>
                <w:rFonts w:ascii="仿宋_GB2312" w:hAnsi="宋体" w:eastAsia="仿宋_GB2312" w:cs="宋体"/>
                <w:kern w:val="0"/>
                <w:szCs w:val="21"/>
              </w:rPr>
            </w:pPr>
          </w:p>
        </w:tc>
        <w:tc>
          <w:tcPr>
            <w:tcW w:w="2160" w:type="dxa"/>
            <w:gridSpan w:val="6"/>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口吃：否□ 是□</w:t>
            </w:r>
          </w:p>
        </w:tc>
        <w:tc>
          <w:tcPr>
            <w:tcW w:w="1260" w:type="dxa"/>
            <w:gridSpan w:val="7"/>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口腔异常</w:t>
            </w:r>
          </w:p>
        </w:tc>
        <w:tc>
          <w:tcPr>
            <w:tcW w:w="3140" w:type="dxa"/>
            <w:gridSpan w:val="6"/>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13"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247" w:type="dxa"/>
            <w:vMerge w:val="restart"/>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外科</w:t>
            </w:r>
          </w:p>
        </w:tc>
        <w:tc>
          <w:tcPr>
            <w:tcW w:w="2180" w:type="dxa"/>
            <w:gridSpan w:val="7"/>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身高：     厘米</w:t>
            </w:r>
          </w:p>
        </w:tc>
        <w:tc>
          <w:tcPr>
            <w:tcW w:w="4380" w:type="dxa"/>
            <w:gridSpan w:val="12"/>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体重：     公斤</w:t>
            </w:r>
          </w:p>
        </w:tc>
        <w:tc>
          <w:tcPr>
            <w:tcW w:w="1913" w:type="dxa"/>
            <w:vMerge w:val="restart"/>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医师意见</w:t>
            </w:r>
            <w:r>
              <w:rPr>
                <w:rFonts w:hint="eastAsia" w:ascii="仿宋_GB2312" w:hAnsi="宋体" w:eastAsia="仿宋_GB2312" w:cs="宋体"/>
                <w:kern w:val="0"/>
                <w:szCs w:val="21"/>
              </w:rPr>
              <w:br w:type="textWrapping"/>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247" w:type="dxa"/>
            <w:vMerge w:val="continue"/>
            <w:vAlign w:val="center"/>
          </w:tcPr>
          <w:p>
            <w:pPr>
              <w:widowControl/>
              <w:jc w:val="left"/>
              <w:rPr>
                <w:rFonts w:ascii="仿宋_GB2312" w:hAnsi="宋体" w:eastAsia="仿宋_GB2312" w:cs="宋体"/>
                <w:kern w:val="0"/>
                <w:szCs w:val="21"/>
              </w:rPr>
            </w:pPr>
          </w:p>
        </w:tc>
        <w:tc>
          <w:tcPr>
            <w:tcW w:w="2520" w:type="dxa"/>
            <w:gridSpan w:val="9"/>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皮肤: 正常□  异常□</w:t>
            </w:r>
          </w:p>
        </w:tc>
        <w:tc>
          <w:tcPr>
            <w:tcW w:w="4040" w:type="dxa"/>
            <w:gridSpan w:val="10"/>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面部： 正常□  异常□</w:t>
            </w:r>
          </w:p>
        </w:tc>
        <w:tc>
          <w:tcPr>
            <w:tcW w:w="1913"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47" w:type="dxa"/>
            <w:vMerge w:val="continue"/>
            <w:vAlign w:val="center"/>
          </w:tcPr>
          <w:p>
            <w:pPr>
              <w:widowControl/>
              <w:jc w:val="left"/>
              <w:rPr>
                <w:rFonts w:ascii="仿宋_GB2312" w:hAnsi="宋体" w:eastAsia="仿宋_GB2312" w:cs="宋体"/>
                <w:kern w:val="0"/>
                <w:szCs w:val="21"/>
              </w:rPr>
            </w:pPr>
          </w:p>
        </w:tc>
        <w:tc>
          <w:tcPr>
            <w:tcW w:w="2520" w:type="dxa"/>
            <w:gridSpan w:val="9"/>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颈部：正常□  异常□</w:t>
            </w:r>
          </w:p>
        </w:tc>
        <w:tc>
          <w:tcPr>
            <w:tcW w:w="4040" w:type="dxa"/>
            <w:gridSpan w:val="10"/>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脊柱： 正常□  异常□</w:t>
            </w:r>
          </w:p>
        </w:tc>
        <w:tc>
          <w:tcPr>
            <w:tcW w:w="1913"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247" w:type="dxa"/>
            <w:vMerge w:val="continue"/>
            <w:vAlign w:val="center"/>
          </w:tcPr>
          <w:p>
            <w:pPr>
              <w:widowControl/>
              <w:jc w:val="left"/>
              <w:rPr>
                <w:rFonts w:ascii="仿宋_GB2312" w:hAnsi="宋体" w:eastAsia="仿宋_GB2312" w:cs="宋体"/>
                <w:kern w:val="0"/>
                <w:szCs w:val="21"/>
              </w:rPr>
            </w:pPr>
          </w:p>
        </w:tc>
        <w:tc>
          <w:tcPr>
            <w:tcW w:w="2520" w:type="dxa"/>
            <w:gridSpan w:val="9"/>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四肢：正常□  异常□</w:t>
            </w:r>
          </w:p>
        </w:tc>
        <w:tc>
          <w:tcPr>
            <w:tcW w:w="4040" w:type="dxa"/>
            <w:gridSpan w:val="10"/>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关节： 正常□  异常□</w:t>
            </w:r>
          </w:p>
        </w:tc>
        <w:tc>
          <w:tcPr>
            <w:tcW w:w="1913"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247" w:type="dxa"/>
            <w:vMerge w:val="continue"/>
            <w:vAlign w:val="center"/>
          </w:tcPr>
          <w:p>
            <w:pPr>
              <w:widowControl/>
              <w:jc w:val="left"/>
              <w:rPr>
                <w:rFonts w:ascii="仿宋_GB2312" w:hAnsi="宋体" w:eastAsia="仿宋_GB2312" w:cs="宋体"/>
                <w:kern w:val="0"/>
                <w:szCs w:val="21"/>
              </w:rPr>
            </w:pPr>
          </w:p>
        </w:tc>
        <w:tc>
          <w:tcPr>
            <w:tcW w:w="1440" w:type="dxa"/>
            <w:gridSpan w:val="3"/>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外科异常</w:t>
            </w:r>
          </w:p>
        </w:tc>
        <w:tc>
          <w:tcPr>
            <w:tcW w:w="5120" w:type="dxa"/>
            <w:gridSpan w:val="16"/>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13"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247" w:type="dxa"/>
            <w:vMerge w:val="restart"/>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内科</w:t>
            </w:r>
          </w:p>
        </w:tc>
        <w:tc>
          <w:tcPr>
            <w:tcW w:w="1440" w:type="dxa"/>
            <w:gridSpan w:val="3"/>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血压</w:t>
            </w:r>
          </w:p>
        </w:tc>
        <w:tc>
          <w:tcPr>
            <w:tcW w:w="5120" w:type="dxa"/>
            <w:gridSpan w:val="16"/>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收缩压：       kpa</w:t>
            </w:r>
          </w:p>
          <w:p>
            <w:pPr>
              <w:jc w:val="left"/>
              <w:rPr>
                <w:rFonts w:ascii="仿宋_GB2312" w:hAnsi="宋体" w:eastAsia="仿宋_GB2312" w:cs="宋体"/>
                <w:kern w:val="0"/>
                <w:szCs w:val="21"/>
              </w:rPr>
            </w:pPr>
            <w:r>
              <w:rPr>
                <w:rFonts w:hint="eastAsia" w:ascii="仿宋_GB2312" w:hAnsi="宋体" w:eastAsia="仿宋_GB2312" w:cs="宋体"/>
                <w:kern w:val="0"/>
                <w:szCs w:val="21"/>
              </w:rPr>
              <w:t>舒张压：       kpa</w:t>
            </w:r>
          </w:p>
        </w:tc>
        <w:tc>
          <w:tcPr>
            <w:tcW w:w="1913" w:type="dxa"/>
            <w:vMerge w:val="restart"/>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医 师 意 见</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7" w:type="dxa"/>
            <w:vMerge w:val="continue"/>
            <w:vAlign w:val="center"/>
          </w:tcPr>
          <w:p>
            <w:pPr>
              <w:widowControl/>
              <w:jc w:val="left"/>
              <w:rPr>
                <w:rFonts w:ascii="仿宋_GB2312" w:hAnsi="宋体" w:eastAsia="仿宋_GB2312" w:cs="宋体"/>
                <w:kern w:val="0"/>
                <w:szCs w:val="21"/>
              </w:rPr>
            </w:pPr>
          </w:p>
        </w:tc>
        <w:tc>
          <w:tcPr>
            <w:tcW w:w="1440" w:type="dxa"/>
            <w:gridSpan w:val="3"/>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发育情况</w:t>
            </w:r>
          </w:p>
        </w:tc>
        <w:tc>
          <w:tcPr>
            <w:tcW w:w="5120" w:type="dxa"/>
            <w:gridSpan w:val="16"/>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良好□  差□</w:t>
            </w:r>
          </w:p>
        </w:tc>
        <w:tc>
          <w:tcPr>
            <w:tcW w:w="1913"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247" w:type="dxa"/>
            <w:vMerge w:val="continue"/>
            <w:vAlign w:val="center"/>
          </w:tcPr>
          <w:p>
            <w:pPr>
              <w:widowControl/>
              <w:jc w:val="left"/>
              <w:rPr>
                <w:rFonts w:ascii="仿宋_GB2312" w:hAnsi="宋体" w:eastAsia="仿宋_GB2312" w:cs="宋体"/>
                <w:kern w:val="0"/>
                <w:szCs w:val="21"/>
              </w:rPr>
            </w:pPr>
          </w:p>
        </w:tc>
        <w:tc>
          <w:tcPr>
            <w:tcW w:w="1440" w:type="dxa"/>
            <w:gridSpan w:val="3"/>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神经系统</w:t>
            </w:r>
          </w:p>
        </w:tc>
        <w:tc>
          <w:tcPr>
            <w:tcW w:w="5120" w:type="dxa"/>
            <w:gridSpan w:val="16"/>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正常□  异常□</w:t>
            </w:r>
          </w:p>
        </w:tc>
        <w:tc>
          <w:tcPr>
            <w:tcW w:w="1913"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247" w:type="dxa"/>
            <w:vMerge w:val="continue"/>
            <w:vAlign w:val="center"/>
          </w:tcPr>
          <w:p>
            <w:pPr>
              <w:widowControl/>
              <w:jc w:val="left"/>
              <w:rPr>
                <w:rFonts w:ascii="仿宋_GB2312" w:hAnsi="宋体" w:eastAsia="仿宋_GB2312" w:cs="宋体"/>
                <w:kern w:val="0"/>
                <w:szCs w:val="21"/>
              </w:rPr>
            </w:pPr>
          </w:p>
        </w:tc>
        <w:tc>
          <w:tcPr>
            <w:tcW w:w="1440" w:type="dxa"/>
            <w:gridSpan w:val="3"/>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呼吸系统</w:t>
            </w:r>
          </w:p>
        </w:tc>
        <w:tc>
          <w:tcPr>
            <w:tcW w:w="5120" w:type="dxa"/>
            <w:gridSpan w:val="16"/>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正常□  异常□　</w:t>
            </w:r>
          </w:p>
        </w:tc>
        <w:tc>
          <w:tcPr>
            <w:tcW w:w="1913"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247" w:type="dxa"/>
            <w:vMerge w:val="continue"/>
            <w:vAlign w:val="center"/>
          </w:tcPr>
          <w:p>
            <w:pPr>
              <w:widowControl/>
              <w:jc w:val="left"/>
              <w:rPr>
                <w:rFonts w:ascii="仿宋_GB2312" w:hAnsi="宋体" w:eastAsia="仿宋_GB2312" w:cs="宋体"/>
                <w:kern w:val="0"/>
                <w:szCs w:val="21"/>
              </w:rPr>
            </w:pPr>
          </w:p>
        </w:tc>
        <w:tc>
          <w:tcPr>
            <w:tcW w:w="1440" w:type="dxa"/>
            <w:gridSpan w:val="3"/>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心脏及血管</w:t>
            </w:r>
          </w:p>
        </w:tc>
        <w:tc>
          <w:tcPr>
            <w:tcW w:w="5120" w:type="dxa"/>
            <w:gridSpan w:val="16"/>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正常□  异常□　</w:t>
            </w:r>
          </w:p>
        </w:tc>
        <w:tc>
          <w:tcPr>
            <w:tcW w:w="1913"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247" w:type="dxa"/>
            <w:vMerge w:val="continue"/>
            <w:vAlign w:val="center"/>
          </w:tcPr>
          <w:p>
            <w:pPr>
              <w:widowControl/>
              <w:jc w:val="left"/>
              <w:rPr>
                <w:rFonts w:ascii="仿宋_GB2312" w:hAnsi="宋体" w:eastAsia="仿宋_GB2312" w:cs="宋体"/>
                <w:kern w:val="0"/>
                <w:szCs w:val="21"/>
              </w:rPr>
            </w:pPr>
          </w:p>
        </w:tc>
        <w:tc>
          <w:tcPr>
            <w:tcW w:w="1440" w:type="dxa"/>
            <w:gridSpan w:val="3"/>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肝</w:t>
            </w:r>
          </w:p>
        </w:tc>
        <w:tc>
          <w:tcPr>
            <w:tcW w:w="5120" w:type="dxa"/>
            <w:gridSpan w:val="16"/>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正常□  异常□　</w:t>
            </w:r>
          </w:p>
        </w:tc>
        <w:tc>
          <w:tcPr>
            <w:tcW w:w="1913"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247" w:type="dxa"/>
            <w:vMerge w:val="continue"/>
            <w:vAlign w:val="center"/>
          </w:tcPr>
          <w:p>
            <w:pPr>
              <w:widowControl/>
              <w:jc w:val="left"/>
              <w:rPr>
                <w:rFonts w:ascii="仿宋_GB2312" w:hAnsi="宋体" w:eastAsia="仿宋_GB2312" w:cs="宋体"/>
                <w:kern w:val="0"/>
                <w:szCs w:val="21"/>
              </w:rPr>
            </w:pPr>
          </w:p>
        </w:tc>
        <w:tc>
          <w:tcPr>
            <w:tcW w:w="1440" w:type="dxa"/>
            <w:gridSpan w:val="3"/>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脾</w:t>
            </w:r>
          </w:p>
        </w:tc>
        <w:tc>
          <w:tcPr>
            <w:tcW w:w="5120" w:type="dxa"/>
            <w:gridSpan w:val="16"/>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正常□  异常□　</w:t>
            </w:r>
          </w:p>
        </w:tc>
        <w:tc>
          <w:tcPr>
            <w:tcW w:w="1913"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247" w:type="dxa"/>
            <w:vMerge w:val="continue"/>
            <w:vAlign w:val="center"/>
          </w:tcPr>
          <w:p>
            <w:pPr>
              <w:widowControl/>
              <w:jc w:val="left"/>
              <w:rPr>
                <w:rFonts w:ascii="仿宋_GB2312" w:hAnsi="宋体" w:eastAsia="仿宋_GB2312" w:cs="宋体"/>
                <w:kern w:val="0"/>
                <w:szCs w:val="21"/>
              </w:rPr>
            </w:pPr>
          </w:p>
        </w:tc>
        <w:tc>
          <w:tcPr>
            <w:tcW w:w="1440" w:type="dxa"/>
            <w:gridSpan w:val="3"/>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胸部透视</w:t>
            </w:r>
          </w:p>
        </w:tc>
        <w:tc>
          <w:tcPr>
            <w:tcW w:w="1859" w:type="dxa"/>
            <w:gridSpan w:val="9"/>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正常□  异常□</w:t>
            </w:r>
          </w:p>
        </w:tc>
        <w:tc>
          <w:tcPr>
            <w:tcW w:w="1201" w:type="dxa"/>
            <w:gridSpan w:val="4"/>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胸透异常</w:t>
            </w:r>
          </w:p>
        </w:tc>
        <w:tc>
          <w:tcPr>
            <w:tcW w:w="2060" w:type="dxa"/>
            <w:gridSpan w:val="3"/>
            <w:vAlign w:val="center"/>
          </w:tcPr>
          <w:p>
            <w:pPr>
              <w:widowControl/>
              <w:jc w:val="left"/>
              <w:rPr>
                <w:rFonts w:ascii="仿宋_GB2312" w:hAnsi="宋体" w:eastAsia="仿宋_GB2312" w:cs="宋体"/>
                <w:kern w:val="0"/>
                <w:szCs w:val="21"/>
              </w:rPr>
            </w:pPr>
          </w:p>
        </w:tc>
        <w:tc>
          <w:tcPr>
            <w:tcW w:w="1913"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47" w:type="dxa"/>
            <w:vMerge w:val="continue"/>
            <w:vAlign w:val="center"/>
          </w:tcPr>
          <w:p>
            <w:pPr>
              <w:widowControl/>
              <w:jc w:val="left"/>
              <w:rPr>
                <w:rFonts w:ascii="仿宋_GB2312" w:hAnsi="宋体" w:eastAsia="仿宋_GB2312" w:cs="宋体"/>
                <w:kern w:val="0"/>
                <w:szCs w:val="21"/>
              </w:rPr>
            </w:pPr>
          </w:p>
        </w:tc>
        <w:tc>
          <w:tcPr>
            <w:tcW w:w="1440" w:type="dxa"/>
            <w:gridSpan w:val="3"/>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内科异常</w:t>
            </w:r>
          </w:p>
        </w:tc>
        <w:tc>
          <w:tcPr>
            <w:tcW w:w="5120" w:type="dxa"/>
            <w:gridSpan w:val="16"/>
            <w:vAlign w:val="center"/>
          </w:tcPr>
          <w:p>
            <w:pPr>
              <w:widowControl/>
              <w:jc w:val="left"/>
              <w:rPr>
                <w:rFonts w:ascii="仿宋_GB2312" w:hAnsi="宋体" w:eastAsia="仿宋_GB2312" w:cs="宋体"/>
                <w:kern w:val="0"/>
                <w:szCs w:val="21"/>
              </w:rPr>
            </w:pPr>
          </w:p>
        </w:tc>
        <w:tc>
          <w:tcPr>
            <w:tcW w:w="1913"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247" w:type="dxa"/>
            <w:vMerge w:val="restart"/>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肝功能</w:t>
            </w:r>
          </w:p>
        </w:tc>
        <w:tc>
          <w:tcPr>
            <w:tcW w:w="6560" w:type="dxa"/>
            <w:gridSpan w:val="19"/>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转氨酶：正常□  异常□</w:t>
            </w:r>
          </w:p>
        </w:tc>
        <w:tc>
          <w:tcPr>
            <w:tcW w:w="1913" w:type="dxa"/>
            <w:vMerge w:val="restart"/>
            <w:vAlign w:val="center"/>
          </w:tcPr>
          <w:p>
            <w:pPr>
              <w:widowControl/>
              <w:jc w:val="center"/>
              <w:rPr>
                <w:rFonts w:ascii="仿宋_GB2312" w:hAnsi="宋体" w:eastAsia="仿宋_GB2312" w:cs="宋体"/>
                <w:kern w:val="0"/>
                <w:szCs w:val="21"/>
              </w:rPr>
            </w:pP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医 师 意 见</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br w:type="textWrapping"/>
            </w:r>
          </w:p>
          <w:p>
            <w:pPr>
              <w:widowControl/>
              <w:ind w:firstLine="525" w:firstLineChars="250"/>
              <w:rPr>
                <w:rFonts w:ascii="仿宋_GB2312" w:hAnsi="宋体" w:eastAsia="仿宋_GB2312" w:cs="宋体"/>
                <w:kern w:val="0"/>
                <w:szCs w:val="21"/>
              </w:rPr>
            </w:pPr>
            <w:r>
              <w:rPr>
                <w:rFonts w:hint="eastAsia" w:ascii="仿宋_GB2312" w:hAnsi="宋体" w:eastAsia="仿宋_GB2312" w:cs="宋体"/>
                <w:kern w:val="0"/>
                <w:szCs w:val="21"/>
              </w:rPr>
              <w:t>签字</w:t>
            </w:r>
          </w:p>
          <w:p>
            <w:pPr>
              <w:widowControl/>
              <w:ind w:firstLine="525" w:firstLineChars="250"/>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1247" w:type="dxa"/>
            <w:vMerge w:val="continue"/>
            <w:vAlign w:val="center"/>
          </w:tcPr>
          <w:p>
            <w:pPr>
              <w:widowControl/>
              <w:jc w:val="center"/>
              <w:rPr>
                <w:rFonts w:ascii="仿宋_GB2312" w:hAnsi="宋体" w:eastAsia="仿宋_GB2312" w:cs="宋体"/>
                <w:kern w:val="0"/>
                <w:szCs w:val="21"/>
              </w:rPr>
            </w:pPr>
          </w:p>
        </w:tc>
        <w:tc>
          <w:tcPr>
            <w:tcW w:w="6560" w:type="dxa"/>
            <w:gridSpan w:val="19"/>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肝功能异常：</w:t>
            </w:r>
          </w:p>
        </w:tc>
        <w:tc>
          <w:tcPr>
            <w:tcW w:w="1913" w:type="dxa"/>
            <w:vMerge w:val="continue"/>
            <w:vAlign w:val="center"/>
          </w:tcPr>
          <w:p>
            <w:pPr>
              <w:widowControl/>
              <w:jc w:val="center"/>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1961" w:type="dxa"/>
            <w:gridSpan w:val="2"/>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体检结论</w:t>
            </w:r>
          </w:p>
        </w:tc>
        <w:tc>
          <w:tcPr>
            <w:tcW w:w="7759" w:type="dxa"/>
            <w:gridSpan w:val="19"/>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961" w:type="dxa"/>
            <w:gridSpan w:val="2"/>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体检医院意见</w:t>
            </w:r>
          </w:p>
        </w:tc>
        <w:tc>
          <w:tcPr>
            <w:tcW w:w="7759" w:type="dxa"/>
            <w:gridSpan w:val="19"/>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1961" w:type="dxa"/>
            <w:gridSpan w:val="2"/>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复审意见</w:t>
            </w:r>
          </w:p>
        </w:tc>
        <w:tc>
          <w:tcPr>
            <w:tcW w:w="7759" w:type="dxa"/>
            <w:gridSpan w:val="19"/>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961" w:type="dxa"/>
            <w:gridSpan w:val="2"/>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备注</w:t>
            </w:r>
          </w:p>
        </w:tc>
        <w:tc>
          <w:tcPr>
            <w:tcW w:w="7759" w:type="dxa"/>
            <w:gridSpan w:val="19"/>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bl>
    <w:p>
      <w:pPr>
        <w:ind w:firstLine="420"/>
        <w:rPr>
          <w:rFonts w:ascii="仿宋_GB2312" w:eastAsia="仿宋_GB2312"/>
          <w:szCs w:val="21"/>
        </w:rPr>
      </w:pPr>
    </w:p>
    <w:p>
      <w:pPr>
        <w:ind w:left="1050" w:leftChars="200" w:hanging="630" w:hangingChars="300"/>
        <w:rPr>
          <w:rFonts w:ascii="仿宋_GB2312" w:eastAsia="仿宋_GB2312"/>
          <w:szCs w:val="21"/>
        </w:rPr>
      </w:pPr>
      <w:r>
        <w:rPr>
          <w:rFonts w:hint="eastAsia" w:ascii="仿宋_GB2312" w:eastAsia="仿宋_GB2312"/>
          <w:szCs w:val="21"/>
        </w:rPr>
        <w:t>注：1.“既往病史”一栏考生必须如实填写。如发现有隐瞒严重疾病，不符合体检标准的，即使已录取入学，也必须取消入学资格。</w:t>
      </w:r>
    </w:p>
    <w:p>
      <w:pPr>
        <w:ind w:left="1050" w:leftChars="200" w:hanging="630" w:hangingChars="300"/>
        <w:rPr>
          <w:rFonts w:ascii="仿宋_GB2312" w:eastAsia="仿宋_GB2312"/>
          <w:szCs w:val="21"/>
        </w:rPr>
      </w:pPr>
      <w:r>
        <w:rPr>
          <w:rFonts w:hint="eastAsia" w:ascii="仿宋_GB2312" w:eastAsia="仿宋_GB2312"/>
          <w:szCs w:val="21"/>
        </w:rPr>
        <w:t xml:space="preserve">    2.体检医师应在检查项目结果的正常或异常等后的空格打“√”。</w:t>
      </w:r>
    </w:p>
    <w:p>
      <w:pPr>
        <w:ind w:left="1050" w:leftChars="400" w:hanging="210" w:hangingChars="100"/>
        <w:rPr>
          <w:rFonts w:ascii="仿宋_GB2312" w:eastAsia="仿宋_GB2312"/>
          <w:szCs w:val="21"/>
        </w:rPr>
      </w:pPr>
      <w:r>
        <w:rPr>
          <w:rFonts w:hint="eastAsia" w:ascii="仿宋_GB2312" w:eastAsia="仿宋_GB2312"/>
          <w:szCs w:val="21"/>
        </w:rPr>
        <w:t>3.体检标准按《普通高等学校招生体检指导意见》及教育部、卫生部有关文件要求执行。</w:t>
      </w:r>
    </w:p>
    <w:p>
      <w:pPr>
        <w:rPr>
          <w:rFonts w:ascii="仿宋_GB2312" w:eastAsia="仿宋_GB2312"/>
          <w:szCs w:val="21"/>
        </w:rPr>
      </w:pPr>
    </w:p>
    <w:p>
      <w:pPr>
        <w:jc w:val="center"/>
      </w:pPr>
      <w:r>
        <w:rPr>
          <w:rFonts w:hint="eastAsia" w:ascii="仿宋_GB2312" w:eastAsia="仿宋_GB2312"/>
          <w:szCs w:val="21"/>
        </w:rPr>
        <w:t xml:space="preserve">                                            体检日期：二О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roman"/>
    <w:pitch w:val="default"/>
    <w:sig w:usb0="FFFFFFFF" w:usb1="E9FFFFFF" w:usb2="0000003F" w:usb3="00000000" w:csb0="603F01FF" w:csb1="FFFF0000"/>
  </w:font>
  <w:font w:name="Gungsuh">
    <w:panose1 w:val="02030600000101010101"/>
    <w:charset w:val="81"/>
    <w:family w:val="roman"/>
    <w:pitch w:val="default"/>
    <w:sig w:usb0="B00002AF" w:usb1="69D77CFB" w:usb2="00000030" w:usb3="00000000" w:csb0="4008009F" w:csb1="DFD7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AF5"/>
    <w:rsid w:val="000F7ED1"/>
    <w:rsid w:val="003B3F04"/>
    <w:rsid w:val="00734EA4"/>
    <w:rsid w:val="00A041F0"/>
    <w:rsid w:val="00AA0851"/>
    <w:rsid w:val="00AF6900"/>
    <w:rsid w:val="00DC70CD"/>
    <w:rsid w:val="00EA5DC2"/>
    <w:rsid w:val="00F05AF5"/>
    <w:rsid w:val="01BF2546"/>
    <w:rsid w:val="0A5E4E16"/>
    <w:rsid w:val="0B7C60BE"/>
    <w:rsid w:val="10836C64"/>
    <w:rsid w:val="1170324B"/>
    <w:rsid w:val="12B91BF6"/>
    <w:rsid w:val="147767EC"/>
    <w:rsid w:val="1BA16455"/>
    <w:rsid w:val="1FEB4382"/>
    <w:rsid w:val="23C4685E"/>
    <w:rsid w:val="283D03CB"/>
    <w:rsid w:val="293D5908"/>
    <w:rsid w:val="2BE027DF"/>
    <w:rsid w:val="2C3A6605"/>
    <w:rsid w:val="2DD77524"/>
    <w:rsid w:val="2FCF0BE1"/>
    <w:rsid w:val="3290381A"/>
    <w:rsid w:val="35FE4280"/>
    <w:rsid w:val="38892A4F"/>
    <w:rsid w:val="3BAC6282"/>
    <w:rsid w:val="3D836216"/>
    <w:rsid w:val="4060128E"/>
    <w:rsid w:val="42EF1DC9"/>
    <w:rsid w:val="470F6E91"/>
    <w:rsid w:val="48602F22"/>
    <w:rsid w:val="494C4E70"/>
    <w:rsid w:val="49814B59"/>
    <w:rsid w:val="4A32596F"/>
    <w:rsid w:val="4C615D34"/>
    <w:rsid w:val="501A78A8"/>
    <w:rsid w:val="55DE07E6"/>
    <w:rsid w:val="56FC6848"/>
    <w:rsid w:val="58D06E8F"/>
    <w:rsid w:val="5A116BF1"/>
    <w:rsid w:val="5A752934"/>
    <w:rsid w:val="5C373C36"/>
    <w:rsid w:val="64F5445C"/>
    <w:rsid w:val="652A5CFE"/>
    <w:rsid w:val="68946024"/>
    <w:rsid w:val="6E8C1958"/>
    <w:rsid w:val="716A47D0"/>
    <w:rsid w:val="72B056B4"/>
    <w:rsid w:val="74E96CAC"/>
    <w:rsid w:val="78B420BC"/>
    <w:rsid w:val="798A40BE"/>
    <w:rsid w:val="7A9A405C"/>
    <w:rsid w:val="7BB24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qFormat/>
    <w:uiPriority w:val="0"/>
    <w:pPr>
      <w:ind w:firstLine="480" w:firstLineChars="200"/>
    </w:pPr>
    <w:rPr>
      <w:sz w:val="24"/>
    </w:rPr>
  </w:style>
  <w:style w:type="paragraph" w:styleId="3">
    <w:name w:val="Date"/>
    <w:basedOn w:val="1"/>
    <w:next w:val="1"/>
    <w:qFormat/>
    <w:uiPriority w:val="0"/>
    <w:pPr>
      <w:ind w:left="100" w:leftChars="2500"/>
    </w:pPr>
    <w:rPr>
      <w:kern w:val="0"/>
      <w:sz w:val="20"/>
      <w:szCs w:val="24"/>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qFormat/>
    <w:uiPriority w:val="99"/>
    <w:rPr>
      <w:rFonts w:ascii="Calibri" w:hAnsi="Calibri" w:eastAsia="宋体" w:cs="Times New Roman"/>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2326</Words>
  <Characters>13264</Characters>
  <Lines>110</Lines>
  <Paragraphs>31</Paragraphs>
  <TotalTime>5</TotalTime>
  <ScaleCrop>false</ScaleCrop>
  <LinksUpToDate>false</LinksUpToDate>
  <CharactersWithSpaces>15559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2020-03-19T07:48:00Z</dcterms:created>
  <dc:creator>招生办</dc:creator>
  <cp:lastModifiedBy>lenovo</cp:lastModifiedBy>
  <cp:lastPrinted>2020-03-20T00:56:00Z</cp:lastPrinted>
  <dcterms:modified xsi:type="dcterms:W3CDTF">2020-03-22T00:44:02Z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